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480" w:after="480" w:line="600" w:lineRule="atLeast"/>
        <w:ind w:right="0" w:rightChars="0" w:firstLine="1084" w:firstLineChars="300"/>
        <w:jc w:val="left"/>
        <w:rPr>
          <w:rFonts w:hint="eastAsia" w:ascii="仿宋" w:hAnsi="仿宋" w:eastAsia="仿宋" w:cs="仿宋"/>
          <w:b/>
          <w:bCs w:val="0"/>
          <w:color w:val="000000"/>
          <w:kern w:val="2"/>
          <w:sz w:val="36"/>
          <w:szCs w:val="36"/>
          <w:lang w:val="en-US" w:eastAsia="zh-CN" w:bidi="ar-SA"/>
        </w:rPr>
      </w:pPr>
      <w:bookmarkStart w:id="0" w:name="_Toc353026445"/>
      <w:bookmarkStart w:id="1" w:name="_Toc353026448"/>
      <w:r>
        <w:rPr>
          <w:rFonts w:hint="eastAsia" w:ascii="仿宋" w:hAnsi="仿宋" w:eastAsia="仿宋" w:cs="仿宋"/>
          <w:b/>
          <w:bCs w:val="0"/>
          <w:color w:val="000000"/>
          <w:kern w:val="2"/>
          <w:sz w:val="36"/>
          <w:szCs w:val="36"/>
          <w:lang w:val="en-US" w:eastAsia="zh-CN" w:bidi="ar-SA"/>
        </w:rPr>
        <w:t>新时代大学毕业生就业创业指导问题研究</w:t>
      </w:r>
    </w:p>
    <w:p>
      <w:pPr>
        <w:rPr>
          <w:rFonts w:hint="default"/>
          <w:lang w:val="en-US" w:eastAsia="zh-CN"/>
        </w:rPr>
      </w:pPr>
      <w:r>
        <w:rPr>
          <w:rFonts w:hint="eastAsia" w:ascii="仿宋" w:hAnsi="仿宋" w:eastAsia="仿宋" w:cs="仿宋"/>
          <w:b/>
          <w:bCs w:val="0"/>
          <w:color w:val="000000"/>
          <w:kern w:val="2"/>
          <w:sz w:val="36"/>
          <w:szCs w:val="36"/>
          <w:lang w:val="en-US" w:eastAsia="zh-CN" w:bidi="ar-SA"/>
        </w:rPr>
        <w:t xml:space="preserve">                    —— 基于濮阳医学教育视角</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张运海</w:t>
      </w:r>
    </w:p>
    <w:p>
      <w:pPr>
        <w:ind w:firstLine="60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bCs/>
          <w:color w:val="000000"/>
          <w:kern w:val="2"/>
          <w:sz w:val="30"/>
          <w:szCs w:val="30"/>
          <w:lang w:val="en-US" w:eastAsia="zh-CN" w:bidi="ar-SA"/>
        </w:rPr>
        <w:t>在新的double—E(EDU+ECON)时代，就业一头连着民生,一头连着发展。党中央、国务院把就业放在“六稳”“六保”之首。濮阳</w:t>
      </w:r>
      <w:r>
        <w:rPr>
          <w:rFonts w:hint="eastAsia" w:ascii="仿宋" w:hAnsi="仿宋" w:eastAsia="仿宋" w:cs="仿宋"/>
          <w:color w:val="000000"/>
          <w:kern w:val="2"/>
          <w:sz w:val="32"/>
          <w:szCs w:val="32"/>
          <w:lang w:val="en-US" w:eastAsia="zh-CN" w:bidi="ar-SA"/>
        </w:rPr>
        <w:t>政府同时也出台了一系列促进高校毕业生就业创业的政策和服务措施,</w:t>
      </w:r>
      <w:r>
        <w:rPr>
          <w:rFonts w:hint="eastAsia" w:ascii="华文仿宋" w:hAnsi="华文仿宋" w:eastAsia="华文仿宋" w:cs="华文仿宋"/>
          <w:i w:val="0"/>
          <w:caps w:val="0"/>
          <w:color w:val="333333"/>
          <w:spacing w:val="6"/>
          <w:kern w:val="0"/>
          <w:sz w:val="32"/>
          <w:szCs w:val="32"/>
          <w:shd w:val="clear" w:color="auto" w:fill="FFFFFF"/>
          <w:lang w:val="en-US" w:eastAsia="zh-CN" w:bidi="ar"/>
        </w:rPr>
        <w:t>尽量减少经济下行压力和新冠肺炎疫情叠加影响，认真分析研究疫情防控形势，积极采取措施，力争2020届毕业生高质量和充</w:t>
      </w:r>
      <w:r>
        <w:rPr>
          <w:rFonts w:hint="eastAsia" w:ascii="华文仿宋" w:hAnsi="华文仿宋" w:eastAsia="华文仿宋" w:cs="华文仿宋"/>
          <w:color w:val="000000"/>
          <w:sz w:val="32"/>
          <w:szCs w:val="32"/>
        </w:rPr>
        <w:t>分就业</w:t>
      </w:r>
      <w:r>
        <w:rPr>
          <w:rFonts w:hint="eastAsia" w:ascii="华文仿宋" w:hAnsi="华文仿宋" w:eastAsia="华文仿宋" w:cs="华文仿宋"/>
          <w:color w:val="000000"/>
          <w:sz w:val="32"/>
          <w:szCs w:val="32"/>
          <w:lang w:eastAsia="zh-CN"/>
        </w:rPr>
        <w:t>。</w:t>
      </w:r>
      <w:r>
        <w:rPr>
          <w:rFonts w:hint="eastAsia" w:ascii="仿宋" w:hAnsi="仿宋" w:eastAsia="仿宋" w:cs="仿宋"/>
          <w:color w:val="000000"/>
          <w:kern w:val="2"/>
          <w:sz w:val="32"/>
          <w:szCs w:val="32"/>
          <w:lang w:val="en-US" w:eastAsia="zh-CN" w:bidi="ar-SA"/>
        </w:rPr>
        <w:t>但同时,高校毕业生还面临着一些挑战,就业结构性矛盾显现,就业质量有待进一步提高,"慢就业"群体需要密切关注。</w:t>
      </w:r>
    </w:p>
    <w:bookmarkEnd w:id="0"/>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一、2020年濮阳医学生就业现状</w:t>
      </w:r>
    </w:p>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（一）</w:t>
      </w:r>
      <w:r>
        <w:rPr>
          <w:rFonts w:hint="eastAsia" w:ascii="仿宋" w:hAnsi="仿宋" w:eastAsia="仿宋" w:cs="仿宋"/>
          <w:bCs/>
          <w:color w:val="000000"/>
          <w:kern w:val="2"/>
          <w:sz w:val="30"/>
          <w:szCs w:val="30"/>
          <w:lang w:val="en-US" w:eastAsia="zh-CN" w:bidi="ar-SA"/>
        </w:rPr>
        <w:t>毕业生落实率在九成以上，整体就业形势乐观</w:t>
      </w:r>
    </w:p>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截至</w:t>
      </w:r>
      <w:r>
        <w:rPr>
          <w:rFonts w:hint="default" w:ascii="仿宋" w:hAnsi="仿宋" w:eastAsia="仿宋" w:cs="仿宋"/>
          <w:bCs/>
          <w:color w:val="000000"/>
          <w:kern w:val="2"/>
          <w:sz w:val="30"/>
          <w:szCs w:val="30"/>
          <w:lang w:val="en-US" w:eastAsia="zh-CN" w:bidi="ar-SA"/>
        </w:rPr>
        <w:t>20</w:t>
      </w:r>
      <w:r>
        <w:rPr>
          <w:rFonts w:hint="eastAsia" w:ascii="仿宋" w:hAnsi="仿宋" w:eastAsia="仿宋" w:cs="仿宋"/>
          <w:bCs/>
          <w:color w:val="000000"/>
          <w:kern w:val="2"/>
          <w:sz w:val="30"/>
          <w:szCs w:val="30"/>
          <w:lang w:val="en-US" w:eastAsia="zh-CN" w:bidi="ar-SA"/>
        </w:rPr>
        <w:t>20年</w:t>
      </w:r>
      <w:r>
        <w:rPr>
          <w:rFonts w:hint="default" w:ascii="仿宋" w:hAnsi="仿宋" w:eastAsia="仿宋" w:cs="仿宋"/>
          <w:bCs/>
          <w:color w:val="000000"/>
          <w:kern w:val="2"/>
          <w:sz w:val="30"/>
          <w:szCs w:val="30"/>
          <w:lang w:val="en-US" w:eastAsia="zh-CN" w:bidi="ar-SA"/>
        </w:rPr>
        <w:t>12</w:t>
      </w:r>
      <w:r>
        <w:rPr>
          <w:rFonts w:hint="eastAsia" w:ascii="仿宋" w:hAnsi="仿宋" w:eastAsia="仿宋" w:cs="仿宋"/>
          <w:bCs/>
          <w:color w:val="000000"/>
          <w:kern w:val="2"/>
          <w:sz w:val="30"/>
          <w:szCs w:val="30"/>
          <w:lang w:val="en-US" w:eastAsia="zh-CN" w:bidi="ar-SA"/>
        </w:rPr>
        <w:t>月</w:t>
      </w:r>
      <w:r>
        <w:rPr>
          <w:rFonts w:hint="default" w:ascii="仿宋" w:hAnsi="仿宋" w:eastAsia="仿宋" w:cs="仿宋"/>
          <w:bCs/>
          <w:color w:val="000000"/>
          <w:kern w:val="2"/>
          <w:sz w:val="30"/>
          <w:szCs w:val="30"/>
          <w:lang w:val="en-US" w:eastAsia="zh-CN" w:bidi="ar-SA"/>
        </w:rPr>
        <w:t>2</w:t>
      </w:r>
      <w:r>
        <w:rPr>
          <w:rFonts w:hint="eastAsia" w:ascii="仿宋" w:hAnsi="仿宋" w:eastAsia="仿宋" w:cs="仿宋"/>
          <w:bCs/>
          <w:color w:val="000000"/>
          <w:kern w:val="2"/>
          <w:sz w:val="30"/>
          <w:szCs w:val="30"/>
          <w:lang w:val="en-US" w:eastAsia="zh-CN" w:bidi="ar-SA"/>
        </w:rPr>
        <w:t>5日，2020届各专业毕业生年终就业率均处于90.00%及以上；其中年终就业率较高的专业为助产专业，就业率为98.94%；其次为药学专业，就业率为96.76%；排在最后的是护理专业，就业率为94.98%。具体如表1-1所示。</w:t>
      </w:r>
    </w:p>
    <w:p>
      <w:pPr>
        <w:ind w:firstLine="600" w:firstLineChars="200"/>
        <w:rPr>
          <w:rFonts w:hint="eastAsia" w:ascii="仿宋" w:hAnsi="仿宋" w:eastAsia="仿宋" w:cs="仿宋"/>
          <w:bCs/>
          <w:color w:val="000000"/>
          <w:kern w:val="2"/>
          <w:sz w:val="30"/>
          <w:szCs w:val="30"/>
          <w:lang w:val="en-US" w:eastAsia="zh-CN" w:bidi="ar-SA"/>
        </w:rPr>
      </w:pPr>
      <w:bookmarkStart w:id="2" w:name="_Toc29513"/>
      <w:r>
        <w:rPr>
          <w:rFonts w:hint="eastAsia" w:ascii="仿宋" w:hAnsi="仿宋" w:eastAsia="仿宋" w:cs="仿宋"/>
          <w:bCs/>
          <w:color w:val="000000"/>
          <w:kern w:val="2"/>
          <w:sz w:val="30"/>
          <w:szCs w:val="30"/>
          <w:lang w:val="en-US" w:eastAsia="zh-CN" w:bidi="ar-SA"/>
        </w:rPr>
        <w:t>表1-1  2020届毕业生各专业就业率</w:t>
      </w:r>
      <w:bookmarkEnd w:id="2"/>
    </w:p>
    <w:tbl>
      <w:tblPr>
        <w:tblStyle w:val="20"/>
        <w:tblpPr w:leftFromText="180" w:rightFromText="180" w:vertAnchor="text" w:horzAnchor="page" w:tblpX="1952" w:tblpY="108"/>
        <w:tblOverlap w:val="never"/>
        <w:tblW w:w="4998" w:type="pct"/>
        <w:jc w:val="center"/>
        <w:shd w:val="clear" w:color="auto" w:fill="auto"/>
        <w:tblLayout w:type="autofit"/>
        <w:tblCellMar>
          <w:top w:w="0" w:type="dxa"/>
          <w:left w:w="0" w:type="dxa"/>
          <w:bottom w:w="0" w:type="dxa"/>
          <w:right w:w="0" w:type="dxa"/>
        </w:tblCellMar>
      </w:tblPr>
      <w:tblGrid>
        <w:gridCol w:w="2434"/>
        <w:gridCol w:w="2093"/>
        <w:gridCol w:w="2285"/>
        <w:gridCol w:w="2285"/>
      </w:tblGrid>
      <w:tr>
        <w:tblPrEx>
          <w:shd w:val="clear" w:color="auto" w:fill="auto"/>
          <w:tblCellMar>
            <w:top w:w="0" w:type="dxa"/>
            <w:left w:w="0" w:type="dxa"/>
            <w:bottom w:w="0" w:type="dxa"/>
            <w:right w:w="0" w:type="dxa"/>
          </w:tblCellMar>
        </w:tblPrEx>
        <w:trPr>
          <w:trHeight w:val="480" w:hRule="exact"/>
          <w:jc w:val="center"/>
        </w:trPr>
        <w:tc>
          <w:tcPr>
            <w:tcW w:w="1337" w:type="pct"/>
            <w:tcBorders>
              <w:top w:val="single" w:color="4F81BD" w:sz="8" w:space="0"/>
              <w:left w:val="dotted" w:color="auto" w:sz="8" w:space="0"/>
              <w:bottom w:val="single" w:color="4F81BD" w:sz="8" w:space="0"/>
              <w:right w:val="dotted" w:color="auto" w:sz="8" w:space="0"/>
            </w:tcBorders>
            <w:shd w:val="clear" w:color="4682B4" w:fill="4F81BD"/>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专  业</w:t>
            </w:r>
          </w:p>
        </w:tc>
        <w:tc>
          <w:tcPr>
            <w:tcW w:w="1150" w:type="pct"/>
            <w:tcBorders>
              <w:top w:val="single" w:color="4F81BD" w:sz="8" w:space="0"/>
              <w:left w:val="dotted" w:color="auto" w:sz="8" w:space="0"/>
              <w:bottom w:val="single" w:color="4F81BD" w:sz="8" w:space="0"/>
              <w:right w:val="dotted" w:color="auto" w:sz="8" w:space="0"/>
            </w:tcBorders>
            <w:shd w:val="clear" w:color="4682B4" w:fill="4F81BD"/>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毕业人数</w:t>
            </w:r>
          </w:p>
        </w:tc>
        <w:tc>
          <w:tcPr>
            <w:tcW w:w="1255" w:type="pct"/>
            <w:tcBorders>
              <w:top w:val="single" w:color="4F81BD" w:sz="8" w:space="0"/>
              <w:left w:val="dotted" w:color="auto" w:sz="8" w:space="0"/>
              <w:bottom w:val="single" w:color="4F81BD" w:sz="8" w:space="0"/>
              <w:right w:val="single" w:color="4F81BD" w:sz="8" w:space="0"/>
            </w:tcBorders>
            <w:shd w:val="clear" w:color="4682B4" w:fill="4F81BD"/>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就业人数</w:t>
            </w:r>
          </w:p>
        </w:tc>
        <w:tc>
          <w:tcPr>
            <w:tcW w:w="1255" w:type="pct"/>
            <w:tcBorders>
              <w:top w:val="single" w:color="4F81BD" w:sz="8" w:space="0"/>
              <w:left w:val="dotted" w:color="auto" w:sz="8" w:space="0"/>
              <w:bottom w:val="single" w:color="4F81BD" w:sz="8" w:space="0"/>
              <w:right w:val="single" w:color="4F81BD" w:sz="8" w:space="0"/>
            </w:tcBorders>
            <w:shd w:val="clear" w:color="4682B4" w:fill="4F81BD"/>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专业就业率</w:t>
            </w:r>
          </w:p>
        </w:tc>
      </w:tr>
      <w:tr>
        <w:tblPrEx>
          <w:shd w:val="clear" w:color="auto" w:fill="auto"/>
          <w:tblCellMar>
            <w:top w:w="0" w:type="dxa"/>
            <w:left w:w="0" w:type="dxa"/>
            <w:bottom w:w="0" w:type="dxa"/>
            <w:right w:w="0" w:type="dxa"/>
          </w:tblCellMar>
        </w:tblPrEx>
        <w:trPr>
          <w:trHeight w:val="480" w:hRule="exact"/>
          <w:jc w:val="center"/>
        </w:trPr>
        <w:tc>
          <w:tcPr>
            <w:tcW w:w="1337"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助产</w:t>
            </w:r>
          </w:p>
        </w:tc>
        <w:tc>
          <w:tcPr>
            <w:tcW w:w="1150"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94</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93</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98.94%</w:t>
            </w:r>
          </w:p>
        </w:tc>
      </w:tr>
      <w:tr>
        <w:tblPrEx>
          <w:shd w:val="clear" w:color="auto" w:fill="auto"/>
          <w:tblCellMar>
            <w:top w:w="0" w:type="dxa"/>
            <w:left w:w="0" w:type="dxa"/>
            <w:bottom w:w="0" w:type="dxa"/>
            <w:right w:w="0" w:type="dxa"/>
          </w:tblCellMar>
        </w:tblPrEx>
        <w:trPr>
          <w:trHeight w:val="480" w:hRule="exact"/>
          <w:jc w:val="center"/>
        </w:trPr>
        <w:tc>
          <w:tcPr>
            <w:tcW w:w="1337"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药学</w:t>
            </w:r>
          </w:p>
        </w:tc>
        <w:tc>
          <w:tcPr>
            <w:tcW w:w="1150"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185</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179</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96.76%</w:t>
            </w:r>
          </w:p>
        </w:tc>
      </w:tr>
      <w:tr>
        <w:tblPrEx>
          <w:shd w:val="clear" w:color="auto" w:fill="auto"/>
          <w:tblCellMar>
            <w:top w:w="0" w:type="dxa"/>
            <w:left w:w="0" w:type="dxa"/>
            <w:bottom w:w="0" w:type="dxa"/>
            <w:right w:w="0" w:type="dxa"/>
          </w:tblCellMar>
        </w:tblPrEx>
        <w:trPr>
          <w:trHeight w:val="480" w:hRule="exact"/>
          <w:jc w:val="center"/>
        </w:trPr>
        <w:tc>
          <w:tcPr>
            <w:tcW w:w="1337"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护理</w:t>
            </w:r>
          </w:p>
        </w:tc>
        <w:tc>
          <w:tcPr>
            <w:tcW w:w="1150"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598</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568</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94.98%</w:t>
            </w:r>
          </w:p>
        </w:tc>
      </w:tr>
      <w:tr>
        <w:tblPrEx>
          <w:shd w:val="clear" w:color="auto" w:fill="auto"/>
          <w:tblCellMar>
            <w:top w:w="0" w:type="dxa"/>
            <w:left w:w="0" w:type="dxa"/>
            <w:bottom w:w="0" w:type="dxa"/>
            <w:right w:w="0" w:type="dxa"/>
          </w:tblCellMar>
        </w:tblPrEx>
        <w:trPr>
          <w:trHeight w:val="480" w:hRule="exact"/>
          <w:jc w:val="center"/>
        </w:trPr>
        <w:tc>
          <w:tcPr>
            <w:tcW w:w="1337"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合计</w:t>
            </w:r>
          </w:p>
        </w:tc>
        <w:tc>
          <w:tcPr>
            <w:tcW w:w="1150" w:type="pct"/>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877</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840</w:t>
            </w:r>
          </w:p>
        </w:tc>
        <w:tc>
          <w:tcPr>
            <w:tcW w:w="1255" w:type="pct"/>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95.78%</w:t>
            </w:r>
          </w:p>
        </w:tc>
      </w:tr>
    </w:tbl>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bookmarkStart w:id="3" w:name="_Toc24829"/>
      <w:r>
        <w:rPr>
          <w:rFonts w:hint="eastAsia" w:ascii="仿宋" w:hAnsi="仿宋" w:eastAsia="仿宋" w:cs="仿宋"/>
          <w:bCs/>
          <w:color w:val="000000"/>
          <w:kern w:val="2"/>
          <w:sz w:val="30"/>
          <w:szCs w:val="30"/>
          <w:lang w:val="en-US" w:eastAsia="zh-CN" w:bidi="ar-SA"/>
        </w:rPr>
        <w:t>（二）毕业生总体就业薪酬情况</w:t>
      </w:r>
      <w:bookmarkEnd w:id="3"/>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2020届毕业生平均月薪为3022.63元，绝大多数在3500元/月以下，占比为88.79%。具体如图2-1所示。</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drawing>
          <wp:inline distT="0" distB="0" distL="114300" distR="114300">
            <wp:extent cx="4572000" cy="2743200"/>
            <wp:effectExtent l="0" t="0" r="0" b="0"/>
            <wp:docPr id="36"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00" w:firstLineChars="200"/>
        <w:rPr>
          <w:rFonts w:hint="eastAsia" w:ascii="仿宋" w:hAnsi="仿宋" w:eastAsia="仿宋" w:cs="仿宋"/>
          <w:bCs/>
          <w:color w:val="000000"/>
          <w:kern w:val="2"/>
          <w:sz w:val="30"/>
          <w:szCs w:val="30"/>
          <w:lang w:val="en-US" w:eastAsia="zh-CN" w:bidi="ar-SA"/>
        </w:rPr>
      </w:pPr>
      <w:bookmarkStart w:id="4" w:name="_Toc15919"/>
      <w:r>
        <w:rPr>
          <w:rFonts w:hint="eastAsia" w:ascii="仿宋" w:hAnsi="仿宋" w:eastAsia="仿宋" w:cs="仿宋"/>
          <w:bCs/>
          <w:color w:val="000000"/>
          <w:kern w:val="2"/>
          <w:sz w:val="30"/>
          <w:szCs w:val="30"/>
          <w:lang w:val="en-US" w:eastAsia="zh-CN" w:bidi="ar-SA"/>
        </w:rPr>
        <w:t>（三）各专业毕业生就业专业相关度</w:t>
      </w:r>
      <w:bookmarkEnd w:id="4"/>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2020届各专业毕业生，助产专业毕业生相关度最高，达到82.14%，护理专业最低，为73.97%。具体如图3-1所示。</w:t>
      </w: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drawing>
          <wp:inline distT="0" distB="0" distL="114300" distR="114300">
            <wp:extent cx="4332605" cy="2447925"/>
            <wp:effectExtent l="0" t="0" r="0" b="0"/>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bookmarkStart w:id="5" w:name="_Toc26653"/>
      <w:r>
        <w:rPr>
          <w:rFonts w:hint="eastAsia" w:ascii="仿宋" w:hAnsi="仿宋" w:eastAsia="仿宋" w:cs="仿宋"/>
          <w:bCs/>
          <w:color w:val="000000"/>
          <w:kern w:val="2"/>
          <w:sz w:val="30"/>
          <w:szCs w:val="30"/>
          <w:lang w:val="en-US" w:eastAsia="zh-CN" w:bidi="ar-SA"/>
        </w:rPr>
        <w:t>（四）毕业生就业总体满意度</w:t>
      </w:r>
      <w:bookmarkEnd w:id="5"/>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2020届毕业生总体就业满意度为91.16%（含很满意、满意和一般），有42人表示很满意，占比9.05%；有132人表示满意，占比28.45%；有249人表示一般，占比53.66%。具体如图4-1所</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示。</w:t>
      </w: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drawing>
          <wp:anchor distT="0" distB="0" distL="114300" distR="114300" simplePos="0" relativeHeight="251829248" behindDoc="0" locked="0" layoutInCell="1" allowOverlap="1">
            <wp:simplePos x="0" y="0"/>
            <wp:positionH relativeFrom="column">
              <wp:posOffset>640715</wp:posOffset>
            </wp:positionH>
            <wp:positionV relativeFrom="paragraph">
              <wp:posOffset>193040</wp:posOffset>
            </wp:positionV>
            <wp:extent cx="4572000" cy="2743200"/>
            <wp:effectExtent l="0" t="0" r="0" b="0"/>
            <wp:wrapTopAndBottom/>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ind w:firstLine="600" w:firstLineChars="200"/>
        <w:rPr>
          <w:rFonts w:hint="eastAsia" w:ascii="仿宋" w:hAnsi="仿宋" w:eastAsia="仿宋" w:cs="仿宋"/>
          <w:bCs/>
          <w:color w:val="000000"/>
          <w:kern w:val="2"/>
          <w:sz w:val="30"/>
          <w:szCs w:val="30"/>
          <w:lang w:val="en-US" w:eastAsia="zh-CN" w:bidi="ar-SA"/>
        </w:rPr>
      </w:pPr>
      <w:bookmarkStart w:id="6" w:name="_Toc24845"/>
      <w:r>
        <w:rPr>
          <w:rFonts w:hint="eastAsia" w:ascii="仿宋" w:hAnsi="仿宋" w:eastAsia="仿宋" w:cs="仿宋"/>
          <w:bCs/>
          <w:color w:val="000000"/>
          <w:kern w:val="2"/>
          <w:sz w:val="30"/>
          <w:szCs w:val="30"/>
          <w:lang w:val="en-US" w:eastAsia="zh-CN" w:bidi="ar-SA"/>
        </w:rPr>
        <w:t>（五）毕业生最终落实工作的渠道</w:t>
      </w:r>
      <w:bookmarkEnd w:id="6"/>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学校2020届毕业生落实工作最主要渠道为亲友渠道（如通过父母、亲友、同学的推荐来找工作），占比为29.96%，其次是用人单位自设渠道（如直接通过用人单位的官网，用人单位自己组织的招聘活动、实践和比赛活动等渠道获取信息和找工作）占比为24.78%。具体如表4-1所示。</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表4-1  2020届毕业生最终落实工作的渠道分布</w:t>
      </w:r>
    </w:p>
    <w:tbl>
      <w:tblPr>
        <w:tblStyle w:val="20"/>
        <w:tblW w:w="0" w:type="auto"/>
        <w:jc w:val="center"/>
        <w:shd w:val="clear" w:color="auto" w:fill="auto"/>
        <w:tblLayout w:type="autofit"/>
        <w:tblCellMar>
          <w:top w:w="0" w:type="dxa"/>
          <w:left w:w="0" w:type="dxa"/>
          <w:bottom w:w="0" w:type="dxa"/>
          <w:right w:w="0" w:type="dxa"/>
        </w:tblCellMar>
      </w:tblPr>
      <w:tblGrid>
        <w:gridCol w:w="6256"/>
        <w:gridCol w:w="1075"/>
        <w:gridCol w:w="1500"/>
      </w:tblGrid>
      <w:tr>
        <w:tblPrEx>
          <w:shd w:val="clear" w:color="auto" w:fill="auto"/>
          <w:tblCellMar>
            <w:top w:w="0" w:type="dxa"/>
            <w:left w:w="0" w:type="dxa"/>
            <w:bottom w:w="0" w:type="dxa"/>
            <w:right w:w="0" w:type="dxa"/>
          </w:tblCellMar>
        </w:tblPrEx>
        <w:trPr>
          <w:trHeight w:val="600"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auto" w:fill="4F81BD"/>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落实工作的渠道</w:t>
            </w:r>
          </w:p>
        </w:tc>
        <w:tc>
          <w:tcPr>
            <w:tcW w:w="1075" w:type="dxa"/>
            <w:tcBorders>
              <w:top w:val="single" w:color="4F81BD" w:sz="8" w:space="0"/>
              <w:left w:val="dotted" w:color="auto" w:sz="8" w:space="0"/>
              <w:bottom w:val="single" w:color="4F81BD" w:sz="8" w:space="0"/>
              <w:right w:val="dotted" w:color="auto" w:sz="8" w:space="0"/>
            </w:tcBorders>
            <w:shd w:val="clear" w:color="auto" w:fill="4F81BD"/>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样本数</w:t>
            </w:r>
          </w:p>
        </w:tc>
        <w:tc>
          <w:tcPr>
            <w:tcW w:w="0" w:type="auto"/>
            <w:tcBorders>
              <w:top w:val="single" w:color="4F81BD" w:sz="8" w:space="0"/>
              <w:left w:val="dotted" w:color="auto" w:sz="8" w:space="0"/>
              <w:bottom w:val="single" w:color="4F81BD" w:sz="8" w:space="0"/>
              <w:right w:val="single" w:color="4F81BD" w:sz="8" w:space="0"/>
            </w:tcBorders>
            <w:shd w:val="clear" w:color="auto" w:fill="4F81BD"/>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占比</w:t>
            </w:r>
          </w:p>
        </w:tc>
      </w:tr>
      <w:tr>
        <w:tblPrEx>
          <w:shd w:val="clear" w:color="auto" w:fill="auto"/>
          <w:tblCellMar>
            <w:top w:w="0" w:type="dxa"/>
            <w:left w:w="0" w:type="dxa"/>
            <w:bottom w:w="0" w:type="dxa"/>
            <w:right w:w="0" w:type="dxa"/>
          </w:tblCellMar>
        </w:tblPrEx>
        <w:trPr>
          <w:trHeight w:val="600"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亲友渠道（如通过父母、亲友、同学的推荐来找工作）</w:t>
            </w:r>
          </w:p>
        </w:tc>
        <w:tc>
          <w:tcPr>
            <w:tcW w:w="1075" w:type="dxa"/>
            <w:tcBorders>
              <w:top w:val="single" w:color="4F81BD" w:sz="8" w:space="0"/>
              <w:left w:val="dotted" w:color="auto"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139</w:t>
            </w:r>
          </w:p>
        </w:tc>
        <w:tc>
          <w:tcPr>
            <w:tcW w:w="0" w:type="auto"/>
            <w:tcBorders>
              <w:top w:val="single" w:color="4F81BD" w:sz="8" w:space="0"/>
              <w:left w:val="dotted" w:color="auto" w:sz="8" w:space="0"/>
              <w:bottom w:val="single" w:color="4F81BD" w:sz="8" w:space="0"/>
              <w:right w:val="single" w:color="4F81BD"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29.96%</w:t>
            </w:r>
          </w:p>
        </w:tc>
      </w:tr>
      <w:tr>
        <w:tblPrEx>
          <w:tblCellMar>
            <w:top w:w="0" w:type="dxa"/>
            <w:left w:w="0" w:type="dxa"/>
            <w:bottom w:w="0" w:type="dxa"/>
            <w:right w:w="0" w:type="dxa"/>
          </w:tblCellMar>
        </w:tblPrEx>
        <w:trPr>
          <w:trHeight w:val="1746"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用人单位自设渠道（如直接通过用人单位的官网，用人单位自己组织的招聘活动、实践和比赛活动等渠道获取信息和找工作）</w:t>
            </w: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p>
        </w:tc>
        <w:tc>
          <w:tcPr>
            <w:tcW w:w="1075" w:type="dxa"/>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115</w:t>
            </w:r>
          </w:p>
        </w:tc>
        <w:tc>
          <w:tcPr>
            <w:tcW w:w="0" w:type="auto"/>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24.78%</w:t>
            </w:r>
          </w:p>
        </w:tc>
      </w:tr>
      <w:tr>
        <w:tblPrEx>
          <w:tblCellMar>
            <w:top w:w="0" w:type="dxa"/>
            <w:left w:w="0" w:type="dxa"/>
            <w:bottom w:w="0" w:type="dxa"/>
            <w:right w:w="0" w:type="dxa"/>
          </w:tblCellMar>
        </w:tblPrEx>
        <w:trPr>
          <w:trHeight w:val="1124"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社会渠道（通过智联招聘、中华英才网等社会招聘网站获得信息和找工作）</w:t>
            </w:r>
          </w:p>
        </w:tc>
        <w:tc>
          <w:tcPr>
            <w:tcW w:w="1075" w:type="dxa"/>
            <w:tcBorders>
              <w:top w:val="single" w:color="4F81BD" w:sz="8" w:space="0"/>
              <w:left w:val="dotted" w:color="auto"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99</w:t>
            </w:r>
          </w:p>
        </w:tc>
        <w:tc>
          <w:tcPr>
            <w:tcW w:w="0" w:type="auto"/>
            <w:tcBorders>
              <w:top w:val="single" w:color="4F81BD" w:sz="8" w:space="0"/>
              <w:left w:val="dotted" w:color="auto" w:sz="8" w:space="0"/>
              <w:bottom w:val="single" w:color="4F81BD" w:sz="8" w:space="0"/>
              <w:right w:val="single" w:color="4F81BD"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21.34%</w:t>
            </w:r>
          </w:p>
        </w:tc>
      </w:tr>
      <w:tr>
        <w:tblPrEx>
          <w:tblCellMar>
            <w:top w:w="0" w:type="dxa"/>
            <w:left w:w="0" w:type="dxa"/>
            <w:bottom w:w="0" w:type="dxa"/>
            <w:right w:w="0" w:type="dxa"/>
          </w:tblCellMar>
        </w:tblPrEx>
        <w:trPr>
          <w:trHeight w:val="600"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其他</w:t>
            </w:r>
          </w:p>
        </w:tc>
        <w:tc>
          <w:tcPr>
            <w:tcW w:w="1075" w:type="dxa"/>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64</w:t>
            </w:r>
          </w:p>
        </w:tc>
        <w:tc>
          <w:tcPr>
            <w:tcW w:w="0" w:type="auto"/>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13.79%</w:t>
            </w:r>
          </w:p>
        </w:tc>
      </w:tr>
      <w:tr>
        <w:tblPrEx>
          <w:tblCellMar>
            <w:top w:w="0" w:type="dxa"/>
            <w:left w:w="0" w:type="dxa"/>
            <w:bottom w:w="0" w:type="dxa"/>
            <w:right w:w="0" w:type="dxa"/>
          </w:tblCellMar>
        </w:tblPrEx>
        <w:trPr>
          <w:trHeight w:val="600"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新媒体（微信、app、微博等）</w:t>
            </w:r>
          </w:p>
        </w:tc>
        <w:tc>
          <w:tcPr>
            <w:tcW w:w="1075" w:type="dxa"/>
            <w:tcBorders>
              <w:top w:val="single" w:color="4F81BD" w:sz="8" w:space="0"/>
              <w:left w:val="dotted" w:color="auto"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21</w:t>
            </w:r>
          </w:p>
        </w:tc>
        <w:tc>
          <w:tcPr>
            <w:tcW w:w="0" w:type="auto"/>
            <w:tcBorders>
              <w:top w:val="single" w:color="4F81BD" w:sz="8" w:space="0"/>
              <w:left w:val="dotted" w:color="auto" w:sz="8" w:space="0"/>
              <w:bottom w:val="single" w:color="4F81BD" w:sz="8" w:space="0"/>
              <w:right w:val="single" w:color="4F81BD"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4.53%</w:t>
            </w:r>
          </w:p>
        </w:tc>
      </w:tr>
      <w:tr>
        <w:tblPrEx>
          <w:tblCellMar>
            <w:top w:w="0" w:type="dxa"/>
            <w:left w:w="0" w:type="dxa"/>
            <w:bottom w:w="0" w:type="dxa"/>
            <w:right w:w="0" w:type="dxa"/>
          </w:tblCellMar>
        </w:tblPrEx>
        <w:trPr>
          <w:trHeight w:val="1167"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政府渠道(如通过教育和人社部门组织的招聘会、发布招聘信息等渠道找到工作)</w:t>
            </w:r>
          </w:p>
        </w:tc>
        <w:tc>
          <w:tcPr>
            <w:tcW w:w="1075" w:type="dxa"/>
            <w:tcBorders>
              <w:top w:val="single" w:color="4F81BD" w:sz="8" w:space="0"/>
              <w:left w:val="dotted" w:color="auto" w:sz="8" w:space="0"/>
              <w:bottom w:val="single" w:color="4F81BD" w:sz="8" w:space="0"/>
              <w:right w:val="dotted" w:color="auto"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19</w:t>
            </w:r>
          </w:p>
        </w:tc>
        <w:tc>
          <w:tcPr>
            <w:tcW w:w="0" w:type="auto"/>
            <w:tcBorders>
              <w:top w:val="single" w:color="4F81BD" w:sz="8" w:space="0"/>
              <w:left w:val="dotted" w:color="auto" w:sz="8" w:space="0"/>
              <w:bottom w:val="single" w:color="4F81BD" w:sz="8" w:space="0"/>
              <w:right w:val="single" w:color="4F81BD" w:sz="8" w:space="0"/>
            </w:tcBorders>
            <w:shd w:val="clear" w:color="auto"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4.09%</w:t>
            </w:r>
          </w:p>
        </w:tc>
      </w:tr>
      <w:tr>
        <w:tblPrEx>
          <w:shd w:val="clear" w:color="auto" w:fill="auto"/>
          <w:tblCellMar>
            <w:top w:w="0" w:type="dxa"/>
            <w:left w:w="0" w:type="dxa"/>
            <w:bottom w:w="0" w:type="dxa"/>
            <w:right w:w="0" w:type="dxa"/>
          </w:tblCellMar>
        </w:tblPrEx>
        <w:trPr>
          <w:trHeight w:val="701"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校园渠道（校园招聘会、老师和校友推荐、母校就业网站等）</w:t>
            </w:r>
          </w:p>
        </w:tc>
        <w:tc>
          <w:tcPr>
            <w:tcW w:w="1075" w:type="dxa"/>
            <w:tcBorders>
              <w:top w:val="single" w:color="4F81BD" w:sz="8" w:space="0"/>
              <w:left w:val="dotted" w:color="auto"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7</w:t>
            </w:r>
          </w:p>
        </w:tc>
        <w:tc>
          <w:tcPr>
            <w:tcW w:w="0" w:type="auto"/>
            <w:tcBorders>
              <w:top w:val="single" w:color="4F81BD" w:sz="8" w:space="0"/>
              <w:left w:val="dotted" w:color="auto" w:sz="8" w:space="0"/>
              <w:bottom w:val="single" w:color="4F81BD" w:sz="8" w:space="0"/>
              <w:right w:val="single" w:color="4F81BD" w:sz="8" w:space="0"/>
            </w:tcBorders>
            <w:shd w:val="clear" w:color="D9E1F2" w:fill="FFFFFF"/>
            <w:tcMar>
              <w:top w:w="15" w:type="dxa"/>
              <w:left w:w="15" w:type="dxa"/>
              <w:right w:w="15" w:type="dxa"/>
            </w:tcMar>
            <w:vAlign w:val="center"/>
          </w:tcPr>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1.51%</w:t>
            </w:r>
          </w:p>
        </w:tc>
      </w:tr>
      <w:tr>
        <w:tblPrEx>
          <w:shd w:val="clear" w:color="auto" w:fill="auto"/>
          <w:tblCellMar>
            <w:top w:w="0" w:type="dxa"/>
            <w:left w:w="0" w:type="dxa"/>
            <w:bottom w:w="0" w:type="dxa"/>
            <w:right w:w="0" w:type="dxa"/>
          </w:tblCellMar>
        </w:tblPrEx>
        <w:trPr>
          <w:trHeight w:val="701" w:hRule="exact"/>
          <w:tblHeader/>
          <w:jc w:val="center"/>
        </w:trPr>
        <w:tc>
          <w:tcPr>
            <w:tcW w:w="6256" w:type="dxa"/>
            <w:tcBorders>
              <w:top w:val="single" w:color="4F81BD" w:sz="8" w:space="0"/>
              <w:left w:val="single" w:color="4F81BD"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合计</w:t>
            </w:r>
          </w:p>
        </w:tc>
        <w:tc>
          <w:tcPr>
            <w:tcW w:w="1075" w:type="dxa"/>
            <w:tcBorders>
              <w:top w:val="single" w:color="4F81BD" w:sz="8" w:space="0"/>
              <w:left w:val="dotted" w:color="auto" w:sz="8" w:space="0"/>
              <w:bottom w:val="single" w:color="4F81BD" w:sz="8" w:space="0"/>
              <w:right w:val="dotted" w:color="auto" w:sz="8" w:space="0"/>
            </w:tcBorders>
            <w:shd w:val="clear" w:color="D9E1F2"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464</w:t>
            </w:r>
          </w:p>
        </w:tc>
        <w:tc>
          <w:tcPr>
            <w:tcW w:w="0" w:type="auto"/>
            <w:tcBorders>
              <w:top w:val="single" w:color="4F81BD" w:sz="8" w:space="0"/>
              <w:left w:val="dotted" w:color="auto" w:sz="8" w:space="0"/>
              <w:bottom w:val="single" w:color="4F81BD" w:sz="8" w:space="0"/>
              <w:right w:val="single" w:color="4F81BD" w:sz="8" w:space="0"/>
            </w:tcBorders>
            <w:shd w:val="clear" w:color="D9E1F2" w:fill="FFFFFF"/>
            <w:tcMar>
              <w:top w:w="15" w:type="dxa"/>
              <w:left w:w="15" w:type="dxa"/>
              <w:right w:w="15" w:type="dxa"/>
            </w:tcMar>
            <w:vAlign w:val="center"/>
          </w:tcPr>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100.00%</w:t>
            </w:r>
          </w:p>
        </w:tc>
      </w:tr>
    </w:tbl>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二、新时代大学毕业生就业创业呈现的问题</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由学校提供的学习条件和机会（教学、科研 、专业选择性及办学条件等）、学生评价自己的发展 （知识、能力、素养）、教学评价较高、专业灵活性差、实习评价较低、以及在经济全球化、数字化、创新化等需求大的指标上供给不足，新时代大学毕业生就业创业呈现出以下特点：</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一是找到心仪的就业岗位越来越难，特别是疫情下2020届毕业生就业创业工作成为攻坚战。</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二是就业创业方面的问题</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1、就业方面主要集中在职业规划不清晰、求职渠道偏少、就业辅导不到位、专业相关度偏低、求职时间过长、疫情影响求职机会、技能与岗位需求不匹配、性别歧视、地域歧视、学历歧视、就业政策知晓度偏低。</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2、创业方面的问题主要集中在资金缺乏、商业经验不足、创业支持政策了解较少、缺乏创新精神、缺乏创业场地、亲友不支持、学校的创业教育不充分等。</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三是就业结构性矛盾显现,就业质量有待进一步提高,"慢就业"群体需要密切关注，同时</w:t>
      </w:r>
      <w:r>
        <w:rPr>
          <w:rFonts w:hint="eastAsia" w:ascii="仿宋" w:hAnsi="仿宋" w:eastAsia="仿宋" w:cs="仿宋"/>
          <w:bCs/>
          <w:color w:val="000000"/>
          <w:kern w:val="2"/>
          <w:sz w:val="30"/>
          <w:szCs w:val="30"/>
          <w:lang w:val="en-US" w:eastAsia="zh-CN" w:bidi="ar-SA"/>
        </w:rPr>
        <w:t>基层就业意识淡薄，结构性矛盾突出，长期以来，大、中城市资源处于绝对优势。很多县级和乡村急需专业知识丰富的毕业生，可由于条件相对于省级、市级条件差，毕业生部不愿意去。</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四是形成“有业不就，无业可就”的尴尬局面</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基层、偏远地方毕业生不愿意去，大中城市找不到合适工作，这样就造成了就业的结构性矛盾，由于毕业生们就业观念不正确，在一定程度上，加剧了就业难，他们期待着高工资高报酬，导致期望过高，造成“有业不就，无业可就”的尴尬局面，甚至有的学生到基层工作以后，满腹牢骚，消极被动，就业质量低下。</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五是就业能力不强，呈现“毕业即失业”现象</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高职高专院校的毕业生大多不够刻苦，不想努力，学习基础差，综合素质低。他们往往因此而自卑，缺乏成功就业的信心，形成一定的就业心理问题。即使学校有安排就业指导课程，他们在上课时也普遍不听课，布置的简历、求职信作业敷衍完成，自我介绍、模拟面试实训主动参与度较低，甚至有的学生连如何搜集就业信息都不知道。因此，就业能力较低的他们，在毕业求职时难免会四处碰壁，一脸茫然，出现“毕业即失业”这一现象。</w:t>
      </w:r>
    </w:p>
    <w:p>
      <w:pPr>
        <w:ind w:firstLine="600" w:firstLineChars="2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三、 新时代大学毕业生就业创业解决策略与路径</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针对当前医疗机构毕业生签约迟缓、就业进程受到疫情困扰、毕业生较为焦虑等困难，</w:t>
      </w:r>
      <w:r>
        <w:rPr>
          <w:rFonts w:hint="eastAsia" w:ascii="仿宋" w:hAnsi="仿宋" w:eastAsia="仿宋" w:cs="仿宋"/>
          <w:bCs/>
          <w:color w:val="000000"/>
          <w:kern w:val="2"/>
          <w:sz w:val="30"/>
          <w:szCs w:val="30"/>
          <w:lang w:val="en-US" w:eastAsia="zh-CN" w:bidi="ar-SA"/>
        </w:rPr>
        <w:t>为了顺畅解决新时代大学毕业生就业创业呈现的问题，应该从以下几点进行入手。</w:t>
      </w:r>
    </w:p>
    <w:p>
      <w:pPr>
        <w:numPr>
          <w:ilvl w:val="0"/>
          <w:numId w:val="1"/>
        </w:num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市政府出台相关优惠就业政策</w:t>
      </w:r>
    </w:p>
    <w:p>
      <w:pPr>
        <w:numPr>
          <w:numId w:val="0"/>
        </w:num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建议由市人社局、市卫健委等部门牵头，鼓励濮阳各级各类卫生机构在同等条件下，加大招录力度，优先考虑招收濮阳医专学生，尤其濮阳籍的毕业生，争取在乡镇、社区、卫生院等一级医院招聘时，本地的毕业生不低于25%;二级医院（含民营医院）录用我校学生达到20%，三级医院录用我校学生不低于10%~15%；同时在“三支一扶”、大学生公益岗的录用时优先考虑濮阳职业技术学院和濮阳医专的毕业生，录取率不低于40%，竭尽全力为我市培养更多更好留得住用得上的实用性卫生技术人才，实现为濮阳经济建设和全市人民卫生健康服务的办学宗旨。</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2、做好就业政策宣传与生活保障服务</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首先是做好市级统筹，对各类就业政策进行归类整理，每年在毕业季之前在市内各高校开展“就业政策宣传周”活动，安排人员进行就业政策宣讲和答疑；其次是制作本市就业政策宣传册和小视频，通过网络等途径向学生精准推送；最后设立毕业生就业政策咨询服务平台，鼓励毕业生通过网络留言、电话、邮件等方式进行就业政策咨询、提出政策需求和建议、通过多措并举，让广大毕业生充分了解、使用本市的就业政策，更便捷的实现就业，同时制定生活保障类、职业提升类和教育保障类政策为为留住人才、用好人才提供支持。</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3、做好求职帮扶，完善创业政策扶持</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政府与学校需要进一步加强政企、校企之间的交流，分行业组织专场招聘会、校园招聘会，为毕业生提供优质的就业信息和岗位，实现精准匹配；统筹全市教育专家资源，通过线上、线下多种方式为毕业生提供求职技能培训、就业咨询、本市就业政策解读等服务，提升毕业生的就业竞争力；做好求职补贴发放，强化就业部门的服务，简化就业手续，实现就业服务线上一站式办理，为毕业生提供专业、贴心、便捷的服务；可以在深入分析大学生创业遇到的主要困难以及希望得到的扶持需求的基础上，为大学生创业提供资金支持、低息贷款、场地租金减免、税收优惠、创办企业中的行政费用减免等金融支持；政府及学校需积极整合创业指导师资力量，为大学生创业提供创业导师辅导、邀请成功创业者以及天使投资人进行创业经验分享；在全市弘扬创业精神，倡导理性创业，号召民众增加对创业失败的包容度，减轻创业者的心理压力，提供便捷的创业一站式服务，简化创业流程，全程提供专业的政务服务。</w:t>
      </w:r>
    </w:p>
    <w:bookmarkEnd w:id="1"/>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4、开阔新媒体平台加强就业创业服务指导</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对于高等院校来说，它们在发展的过程中一定要紧跟时代的发展趋势，学会利用新媒体技术来加强就业指导工作交流与建设。一般来说，高校都会有自己的就业服务网站和微信公众号，在原有的就业创业服务网站上增设网页内容和服务功能，例如可开设就业创业指导专栏，对简历的制作、一般面试的流程分析、创业案例的研究、就业经验的分享等内容进行详细的表达，并且提供线上交流的机会，让马上面临毕业的学生、已经毕业工作的学生、老师之间形成一个互相帮助的平台，促进对就业信息的共享。其次，学校还可以对优秀的校友信息进行汇集整理，在征得其同意的情况下提供给有需要的毕业生，这样做不仅让毕业生增加了就业机会，对于已经从业的校友来说也是扩充自己人脉的重要方式。最后，还可以将网络招聘引入到校园招聘会当中，使得就业指导工作更加信息化、时代化、多元化，在校园内营造出就业的良好氛围，大大缓解了毕业生的就业压力，使其能够更好地面对社会带来的挑战。</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5、制定职业规划，参加心理辅导</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毕业生在毕业以前就要初步拟定好自身的职业生涯规划，对从业方向和类别有一个总体思路，树立“先就业后择业再创业”的新型就业观，让自己在第一份工作中能积累经验、增强竞争能力，进而选择更理想的职业。在求职过程中，往往会出现一些不良情绪。及时进行心理咨询，改变自己的消极认知，调整就业的心态，做好心理准备，提高耐挫折的心理承受能力，不断改进自身的不足，以更好的心态培养自己的多方面能力来促进就业。 </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6、开展实践活动，提升就业能力</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就业指导老师为毕业生从学生的就业定位，就业心理，就业注意事项，求职礼仪等方面为学生讲解，使学生受益匪浅，学校还可以联手企业召开招聘会，在此过程中使得企业了解毕业生求职心理和需求，同时毕业生也可以掌握用人单位用人条件和如何在求职中顺利过关。另外，学校还可以举办简历制作大赛、模拟面试大赛，帮助同学们查找自身存在的问题和不足，以赛促教，调动他们学习的积极性，从而提升他们的就业能力。</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7、拓宽就业思路，激发创业热情 </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现在高等教育已经进入了“大众化”时代，毕业生要降低就业层次，拓宽就业地域，抢先到那些目前经济虽然欠发达，但发展后劲足、有广阔发展空间的城市去施展才华，要敢于到那些新办的外资或私营的单位去，要拓展就业领域，不必拘泥于专业对口，敢于到相近或相邻的新兴行业就业或创业。立足现实，把目光转向基层，转向创业，并把个人发展和社会发展良好地结合起来，确定合适的就业期望值，正确定位，毕业生的就业率、就业质量定会大大提升。</w:t>
      </w:r>
    </w:p>
    <w:p>
      <w:pPr>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8、积极推行网上经办和智慧服务，让“信息多跑路，学生少跑腿”</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我们应坚持把高校毕业生就业摆在就业工作的首位，认真开展“放管服”改革，积极推动网上经办，让“信息多跑路，学生少跑腿”，逐步实现“进一张网，办全部事”，探索智慧人社服务，使服务对象满意度大幅提升，探索建立起新时代高校毕业生就业创业公共服务新模式。</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在政策推介服务上，应建立了毕业生就业创业政策集中推介平台。统一组织开展“筑梦未来 与你同行”高校毕业生就业创业政策宣传推介活动，制作政策宣传片，多渠道多方式宣传推介省级及各地促进高校毕业生就业创业政策措施和办理渠道，使毕业生和用人单位对就业创业政策应享尽知，助推政策落地见实效。</w:t>
      </w: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在求职招聘服务上，应建立了毕业生求职信息数据库和用人单位招聘信息数据库，集中发布全省毕业生公益性招聘会场次信息，用人单位和毕业生可在线申报接收和登记就业信息，搭建了用人单位和毕业生网上双向交流平台，促进了人岗匹配，提高了求职招聘的成功率。此外，还通过手机APP以地图形式展示用人单位招聘信息，毕业生可快捷查询就业意向地周边招聘信息并应聘求职，在实名就业服务上，提升管理手段，建立起毕业生信息衔接工作机制，将以往离校未就业高校毕业生实名信息窗口登记服务改为网上实名登记服务，毕业生足不出户就可登记个人求职意向等信息，接受岗位推荐、就业指导等公共就业服务。</w:t>
      </w:r>
    </w:p>
    <w:p>
      <w:pPr>
        <w:ind w:firstLine="600" w:firstLineChars="200"/>
        <w:rPr>
          <w:rFonts w:hint="eastAsia" w:ascii="仿宋" w:hAnsi="仿宋" w:eastAsia="仿宋" w:cs="仿宋"/>
          <w:bCs/>
          <w:color w:val="000000"/>
          <w:kern w:val="2"/>
          <w:sz w:val="30"/>
          <w:szCs w:val="30"/>
          <w:lang w:val="en-US" w:eastAsia="zh-CN" w:bidi="ar-SA"/>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420" w:leftChars="0" w:right="0" w:rightChars="0"/>
        <w:jc w:val="left"/>
        <w:textAlignment w:val="baseline"/>
        <w:outlineLvl w:val="9"/>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9、改革学校评价，推进落实立德树人根本务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420"/>
        <w:jc w:val="left"/>
        <w:textAlignment w:val="baseline"/>
        <w:outlineLvl w:val="9"/>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应推进高校分类评价，引导不同类型高校科学定位，办出特色和水平。改进教育教学评估，突出思想政治教育、教授为学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420"/>
        <w:jc w:val="left"/>
        <w:textAlignment w:val="baseline"/>
        <w:outlineLvl w:val="9"/>
        <w:rPr>
          <w:rFonts w:hint="eastAsia" w:ascii="仿宋" w:hAnsi="仿宋" w:eastAsia="仿宋" w:cs="仿宋"/>
          <w:bCs/>
          <w:color w:val="000000"/>
          <w:kern w:val="2"/>
          <w:sz w:val="30"/>
          <w:szCs w:val="30"/>
          <w:lang w:val="en-US" w:eastAsia="zh-CN" w:bidi="ar-SA"/>
        </w:rPr>
      </w:pPr>
      <w:bookmarkStart w:id="7" w:name="_GoBack"/>
      <w:bookmarkEnd w:id="7"/>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600" w:lineRule="atLeast"/>
        <w:ind w:left="0" w:right="0" w:rightChars="0" w:firstLine="420"/>
        <w:textAlignment w:val="baseline"/>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                        </w:t>
      </w: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pPr>
    </w:p>
    <w:p>
      <w:pPr>
        <w:ind w:firstLine="600" w:firstLineChars="200"/>
        <w:rPr>
          <w:rFonts w:hint="eastAsia" w:ascii="仿宋" w:hAnsi="仿宋" w:eastAsia="仿宋" w:cs="仿宋"/>
          <w:bCs/>
          <w:color w:val="000000"/>
          <w:kern w:val="2"/>
          <w:sz w:val="30"/>
          <w:szCs w:val="30"/>
          <w:lang w:val="en-US" w:eastAsia="zh-CN" w:bidi="ar-SA"/>
        </w:rPr>
        <w:sectPr>
          <w:footerReference r:id="rId3" w:type="default"/>
          <w:pgSz w:w="11907" w:h="16840"/>
          <w:pgMar w:top="1701" w:right="1418" w:bottom="1418" w:left="1418" w:header="1247" w:footer="992" w:gutter="0"/>
          <w:pgNumType w:fmt="decimal"/>
          <w:cols w:space="425" w:num="1"/>
          <w:docGrid w:linePitch="312" w:charSpace="0"/>
        </w:sectPr>
      </w:pPr>
    </w:p>
    <w:p>
      <w:pPr>
        <w:ind w:firstLine="600" w:firstLineChars="200"/>
        <w:rPr>
          <w:rFonts w:hint="eastAsia" w:ascii="仿宋" w:hAnsi="仿宋" w:eastAsia="仿宋" w:cs="仿宋"/>
          <w:bCs/>
          <w:color w:val="000000"/>
          <w:kern w:val="2"/>
          <w:sz w:val="30"/>
          <w:szCs w:val="30"/>
          <w:lang w:val="en-US" w:eastAsia="zh-CN" w:bidi="ar-SA"/>
        </w:rPr>
      </w:pPr>
    </w:p>
    <w:sectPr>
      <w:head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w:pict>
        <v:shape id="文本框 4"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sdt>
      <w:sdtPr>
        <w:id w:val="6973433"/>
      </w:sdtPr>
      <w:sdtContent/>
    </w:sdt>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C84DE"/>
    <w:multiLevelType w:val="singleLevel"/>
    <w:tmpl w:val="70BC84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69B5"/>
    <w:rsid w:val="00032B62"/>
    <w:rsid w:val="00047E43"/>
    <w:rsid w:val="000C0FC4"/>
    <w:rsid w:val="000D3F2A"/>
    <w:rsid w:val="00110699"/>
    <w:rsid w:val="00135D84"/>
    <w:rsid w:val="0015620A"/>
    <w:rsid w:val="001869FD"/>
    <w:rsid w:val="00195F11"/>
    <w:rsid w:val="00205439"/>
    <w:rsid w:val="002344F0"/>
    <w:rsid w:val="00291736"/>
    <w:rsid w:val="002B3B12"/>
    <w:rsid w:val="002D2C65"/>
    <w:rsid w:val="003140B8"/>
    <w:rsid w:val="00320545"/>
    <w:rsid w:val="003252CF"/>
    <w:rsid w:val="00361F03"/>
    <w:rsid w:val="003C74D0"/>
    <w:rsid w:val="003F2C35"/>
    <w:rsid w:val="004571E7"/>
    <w:rsid w:val="004A2BA8"/>
    <w:rsid w:val="004A37BF"/>
    <w:rsid w:val="004E3970"/>
    <w:rsid w:val="005223A2"/>
    <w:rsid w:val="005C094B"/>
    <w:rsid w:val="006032E7"/>
    <w:rsid w:val="006B0B45"/>
    <w:rsid w:val="006B3E33"/>
    <w:rsid w:val="006B7E81"/>
    <w:rsid w:val="006C2639"/>
    <w:rsid w:val="00715BA8"/>
    <w:rsid w:val="00725626"/>
    <w:rsid w:val="007369B5"/>
    <w:rsid w:val="007A5743"/>
    <w:rsid w:val="00841992"/>
    <w:rsid w:val="00847C13"/>
    <w:rsid w:val="008A03BE"/>
    <w:rsid w:val="00917F6F"/>
    <w:rsid w:val="00A557F7"/>
    <w:rsid w:val="00AC590A"/>
    <w:rsid w:val="00B60965"/>
    <w:rsid w:val="00B844F3"/>
    <w:rsid w:val="00B937C1"/>
    <w:rsid w:val="00CA1A65"/>
    <w:rsid w:val="00CA745B"/>
    <w:rsid w:val="00D27424"/>
    <w:rsid w:val="00D336AB"/>
    <w:rsid w:val="00D7342B"/>
    <w:rsid w:val="00E14B35"/>
    <w:rsid w:val="00E2495D"/>
    <w:rsid w:val="00E74EA2"/>
    <w:rsid w:val="00EA184A"/>
    <w:rsid w:val="00F93FB6"/>
    <w:rsid w:val="00FE5368"/>
    <w:rsid w:val="03AC1FD3"/>
    <w:rsid w:val="04C06618"/>
    <w:rsid w:val="064412A1"/>
    <w:rsid w:val="06F5157F"/>
    <w:rsid w:val="079F16E6"/>
    <w:rsid w:val="0905142D"/>
    <w:rsid w:val="0A2305BD"/>
    <w:rsid w:val="0B343B40"/>
    <w:rsid w:val="0B4737DA"/>
    <w:rsid w:val="0ED6724C"/>
    <w:rsid w:val="0FA27C04"/>
    <w:rsid w:val="12F22CDF"/>
    <w:rsid w:val="12FB10FD"/>
    <w:rsid w:val="141E036D"/>
    <w:rsid w:val="14214854"/>
    <w:rsid w:val="19181E80"/>
    <w:rsid w:val="1936175C"/>
    <w:rsid w:val="1A941DEA"/>
    <w:rsid w:val="1AB64B9F"/>
    <w:rsid w:val="1D8D4D16"/>
    <w:rsid w:val="251928C1"/>
    <w:rsid w:val="266959D0"/>
    <w:rsid w:val="289458BA"/>
    <w:rsid w:val="2BED4F67"/>
    <w:rsid w:val="32433BE1"/>
    <w:rsid w:val="332160AE"/>
    <w:rsid w:val="332219BF"/>
    <w:rsid w:val="34151388"/>
    <w:rsid w:val="385509D9"/>
    <w:rsid w:val="3C1A0DF0"/>
    <w:rsid w:val="3FAC30BC"/>
    <w:rsid w:val="425B46A1"/>
    <w:rsid w:val="49034046"/>
    <w:rsid w:val="4B712CAE"/>
    <w:rsid w:val="4B7A7E2E"/>
    <w:rsid w:val="4BB26209"/>
    <w:rsid w:val="4BD914AD"/>
    <w:rsid w:val="4C032A7F"/>
    <w:rsid w:val="51014F6B"/>
    <w:rsid w:val="53D9721C"/>
    <w:rsid w:val="55B2128B"/>
    <w:rsid w:val="55E02A30"/>
    <w:rsid w:val="5DBE68EC"/>
    <w:rsid w:val="5FA2143A"/>
    <w:rsid w:val="5FAC7243"/>
    <w:rsid w:val="61EA33A5"/>
    <w:rsid w:val="64321074"/>
    <w:rsid w:val="649D4ADD"/>
    <w:rsid w:val="64F973F5"/>
    <w:rsid w:val="68B10737"/>
    <w:rsid w:val="69007290"/>
    <w:rsid w:val="6D631A43"/>
    <w:rsid w:val="6D86728B"/>
    <w:rsid w:val="6E9201F6"/>
    <w:rsid w:val="6EC828CB"/>
    <w:rsid w:val="724F1AB2"/>
    <w:rsid w:val="73724BBB"/>
    <w:rsid w:val="73D81E42"/>
    <w:rsid w:val="76264F3A"/>
    <w:rsid w:val="77946A53"/>
    <w:rsid w:val="785301C9"/>
    <w:rsid w:val="7BF7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9"/>
    <w:qFormat/>
    <w:uiPriority w:val="0"/>
    <w:pPr>
      <w:keepNext/>
      <w:keepLines/>
      <w:spacing w:beforeLines="200" w:afterLines="200" w:line="360" w:lineRule="auto"/>
      <w:jc w:val="center"/>
      <w:outlineLvl w:val="0"/>
    </w:pPr>
    <w:rPr>
      <w:rFonts w:eastAsia="黑体"/>
      <w:bCs/>
      <w:kern w:val="44"/>
      <w:sz w:val="32"/>
      <w:szCs w:val="24"/>
    </w:rPr>
  </w:style>
  <w:style w:type="paragraph" w:styleId="3">
    <w:name w:val="heading 2"/>
    <w:basedOn w:val="1"/>
    <w:next w:val="1"/>
    <w:link w:val="30"/>
    <w:qFormat/>
    <w:uiPriority w:val="0"/>
    <w:pPr>
      <w:keepNext/>
      <w:keepLines/>
      <w:spacing w:beforeLines="50" w:afterLines="50" w:line="360" w:lineRule="auto"/>
      <w:jc w:val="left"/>
      <w:outlineLvl w:val="1"/>
    </w:pPr>
    <w:rPr>
      <w:rFonts w:eastAsia="黑体"/>
      <w:bCs/>
      <w:sz w:val="30"/>
      <w:szCs w:val="24"/>
    </w:rPr>
  </w:style>
  <w:style w:type="paragraph" w:styleId="4">
    <w:name w:val="heading 3"/>
    <w:basedOn w:val="1"/>
    <w:next w:val="1"/>
    <w:link w:val="31"/>
    <w:qFormat/>
    <w:uiPriority w:val="0"/>
    <w:pPr>
      <w:keepNext/>
      <w:keepLines/>
      <w:spacing w:line="360" w:lineRule="auto"/>
      <w:jc w:val="left"/>
      <w:outlineLvl w:val="2"/>
    </w:pPr>
    <w:rPr>
      <w:rFonts w:eastAsia="黑体"/>
      <w:bCs/>
      <w:sz w:val="28"/>
      <w:szCs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rPr>
  </w:style>
  <w:style w:type="paragraph" w:styleId="6">
    <w:name w:val="Document Map"/>
    <w:basedOn w:val="1"/>
    <w:link w:val="34"/>
    <w:semiHidden/>
    <w:qFormat/>
    <w:uiPriority w:val="0"/>
    <w:pPr>
      <w:shd w:val="clear" w:color="auto" w:fill="000080"/>
    </w:pPr>
    <w:rPr>
      <w:szCs w:val="24"/>
    </w:rPr>
  </w:style>
  <w:style w:type="paragraph" w:styleId="7">
    <w:name w:val="annotation text"/>
    <w:basedOn w:val="1"/>
    <w:link w:val="36"/>
    <w:semiHidden/>
    <w:qFormat/>
    <w:uiPriority w:val="0"/>
    <w:pPr>
      <w:jc w:val="left"/>
    </w:pPr>
    <w:rPr>
      <w:szCs w:val="24"/>
    </w:rPr>
  </w:style>
  <w:style w:type="paragraph" w:styleId="8">
    <w:name w:val="Body Text"/>
    <w:basedOn w:val="1"/>
    <w:qFormat/>
    <w:uiPriority w:val="0"/>
    <w:pPr>
      <w:spacing w:after="120" w:afterLines="0" w:afterAutospacing="0"/>
    </w:pPr>
  </w:style>
  <w:style w:type="paragraph" w:styleId="9">
    <w:name w:val="Body Text Indent"/>
    <w:basedOn w:val="1"/>
    <w:link w:val="32"/>
    <w:qFormat/>
    <w:uiPriority w:val="0"/>
    <w:pPr>
      <w:spacing w:line="360" w:lineRule="auto"/>
      <w:ind w:firstLine="420"/>
    </w:pPr>
  </w:style>
  <w:style w:type="paragraph" w:styleId="10">
    <w:name w:val="toc 3"/>
    <w:basedOn w:val="1"/>
    <w:next w:val="1"/>
    <w:qFormat/>
    <w:uiPriority w:val="39"/>
    <w:pPr>
      <w:spacing w:line="360" w:lineRule="auto"/>
      <w:ind w:left="200" w:leftChars="200"/>
    </w:pPr>
    <w:rPr>
      <w:sz w:val="24"/>
      <w:szCs w:val="24"/>
    </w:rPr>
  </w:style>
  <w:style w:type="paragraph" w:styleId="11">
    <w:name w:val="Plain Text"/>
    <w:basedOn w:val="1"/>
    <w:link w:val="33"/>
    <w:qFormat/>
    <w:uiPriority w:val="0"/>
    <w:rPr>
      <w:rFonts w:ascii="宋体" w:hAnsi="Roman 10cpi"/>
    </w:rPr>
  </w:style>
  <w:style w:type="paragraph" w:styleId="12">
    <w:name w:val="Date"/>
    <w:basedOn w:val="1"/>
    <w:next w:val="1"/>
    <w:link w:val="40"/>
    <w:qFormat/>
    <w:uiPriority w:val="0"/>
    <w:pPr>
      <w:ind w:left="100" w:leftChars="2500"/>
    </w:pPr>
    <w:rPr>
      <w:szCs w:val="24"/>
    </w:rPr>
  </w:style>
  <w:style w:type="paragraph" w:styleId="13">
    <w:name w:val="Balloon Text"/>
    <w:basedOn w:val="1"/>
    <w:link w:val="38"/>
    <w:semiHidden/>
    <w:qFormat/>
    <w:uiPriority w:val="0"/>
    <w:rPr>
      <w:sz w:val="18"/>
      <w:szCs w:val="18"/>
    </w:rPr>
  </w:style>
  <w:style w:type="paragraph" w:styleId="14">
    <w:name w:val="footer"/>
    <w:basedOn w:val="1"/>
    <w:link w:val="28"/>
    <w:unhideWhenUsed/>
    <w:qFormat/>
    <w:uiPriority w:val="0"/>
    <w:pPr>
      <w:tabs>
        <w:tab w:val="center" w:pos="4153"/>
        <w:tab w:val="right" w:pos="8306"/>
      </w:tabs>
      <w:snapToGrid w:val="0"/>
      <w:jc w:val="left"/>
    </w:pPr>
    <w:rPr>
      <w:sz w:val="18"/>
      <w:szCs w:val="18"/>
    </w:rPr>
  </w:style>
  <w:style w:type="paragraph" w:styleId="15">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360" w:lineRule="auto"/>
    </w:pPr>
    <w:rPr>
      <w:rFonts w:eastAsia="黑体"/>
      <w:sz w:val="24"/>
      <w:szCs w:val="24"/>
    </w:rPr>
  </w:style>
  <w:style w:type="paragraph" w:styleId="17">
    <w:name w:val="toc 2"/>
    <w:basedOn w:val="1"/>
    <w:next w:val="1"/>
    <w:qFormat/>
    <w:uiPriority w:val="39"/>
    <w:pPr>
      <w:spacing w:line="360" w:lineRule="auto"/>
      <w:ind w:left="100" w:leftChars="100"/>
    </w:pPr>
    <w:rPr>
      <w:sz w:val="24"/>
      <w:szCs w:val="24"/>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7"/>
    <w:next w:val="7"/>
    <w:link w:val="37"/>
    <w:semiHidden/>
    <w:qFormat/>
    <w:uiPriority w:val="0"/>
    <w:rPr>
      <w:b/>
      <w:bCs/>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99"/>
    <w:rPr>
      <w:color w:val="0000FF"/>
      <w:u w:val="single"/>
    </w:rPr>
  </w:style>
  <w:style w:type="character" w:styleId="26">
    <w:name w:val="annotation reference"/>
    <w:basedOn w:val="22"/>
    <w:semiHidden/>
    <w:qFormat/>
    <w:uiPriority w:val="0"/>
    <w:rPr>
      <w:sz w:val="21"/>
      <w:szCs w:val="21"/>
    </w:rPr>
  </w:style>
  <w:style w:type="character" w:customStyle="1" w:styleId="27">
    <w:name w:val="页眉 Char"/>
    <w:basedOn w:val="22"/>
    <w:link w:val="15"/>
    <w:qFormat/>
    <w:uiPriority w:val="99"/>
    <w:rPr>
      <w:sz w:val="18"/>
      <w:szCs w:val="18"/>
    </w:rPr>
  </w:style>
  <w:style w:type="character" w:customStyle="1" w:styleId="28">
    <w:name w:val="页脚 Char"/>
    <w:basedOn w:val="22"/>
    <w:link w:val="14"/>
    <w:semiHidden/>
    <w:qFormat/>
    <w:uiPriority w:val="99"/>
    <w:rPr>
      <w:sz w:val="18"/>
      <w:szCs w:val="18"/>
    </w:rPr>
  </w:style>
  <w:style w:type="character" w:customStyle="1" w:styleId="29">
    <w:name w:val="标题 1 Char"/>
    <w:basedOn w:val="22"/>
    <w:link w:val="2"/>
    <w:qFormat/>
    <w:uiPriority w:val="0"/>
    <w:rPr>
      <w:rFonts w:ascii="Times New Roman" w:hAnsi="Times New Roman" w:eastAsia="黑体" w:cs="Times New Roman"/>
      <w:bCs/>
      <w:kern w:val="44"/>
      <w:sz w:val="32"/>
      <w:szCs w:val="24"/>
    </w:rPr>
  </w:style>
  <w:style w:type="character" w:customStyle="1" w:styleId="30">
    <w:name w:val="标题 2 Char"/>
    <w:basedOn w:val="22"/>
    <w:link w:val="3"/>
    <w:qFormat/>
    <w:uiPriority w:val="0"/>
    <w:rPr>
      <w:rFonts w:ascii="Times New Roman" w:hAnsi="Times New Roman" w:eastAsia="黑体" w:cs="Times New Roman"/>
      <w:bCs/>
      <w:sz w:val="30"/>
      <w:szCs w:val="24"/>
    </w:rPr>
  </w:style>
  <w:style w:type="character" w:customStyle="1" w:styleId="31">
    <w:name w:val="标题 3 Char"/>
    <w:basedOn w:val="22"/>
    <w:link w:val="4"/>
    <w:qFormat/>
    <w:uiPriority w:val="0"/>
    <w:rPr>
      <w:rFonts w:ascii="Times New Roman" w:hAnsi="Times New Roman" w:eastAsia="黑体" w:cs="Times New Roman"/>
      <w:bCs/>
      <w:sz w:val="28"/>
      <w:szCs w:val="24"/>
    </w:rPr>
  </w:style>
  <w:style w:type="character" w:customStyle="1" w:styleId="32">
    <w:name w:val="正文文本缩进 Char"/>
    <w:basedOn w:val="22"/>
    <w:link w:val="9"/>
    <w:qFormat/>
    <w:uiPriority w:val="0"/>
    <w:rPr>
      <w:rFonts w:ascii="Times New Roman" w:hAnsi="Times New Roman" w:eastAsia="宋体" w:cs="Times New Roman"/>
      <w:szCs w:val="20"/>
    </w:rPr>
  </w:style>
  <w:style w:type="character" w:customStyle="1" w:styleId="33">
    <w:name w:val="纯文本 Char"/>
    <w:basedOn w:val="22"/>
    <w:link w:val="11"/>
    <w:qFormat/>
    <w:uiPriority w:val="0"/>
    <w:rPr>
      <w:rFonts w:ascii="宋体" w:hAnsi="Roman 10cpi" w:eastAsia="宋体" w:cs="Times New Roman"/>
      <w:szCs w:val="20"/>
    </w:rPr>
  </w:style>
  <w:style w:type="character" w:customStyle="1" w:styleId="34">
    <w:name w:val="文档结构图 Char"/>
    <w:basedOn w:val="22"/>
    <w:link w:val="6"/>
    <w:semiHidden/>
    <w:qFormat/>
    <w:uiPriority w:val="0"/>
    <w:rPr>
      <w:rFonts w:ascii="Times New Roman" w:hAnsi="Times New Roman" w:eastAsia="宋体" w:cs="Times New Roman"/>
      <w:szCs w:val="24"/>
      <w:shd w:val="clear" w:color="auto" w:fill="000080"/>
    </w:rPr>
  </w:style>
  <w:style w:type="paragraph" w:customStyle="1" w:styleId="35">
    <w:name w:val="List Paragraph"/>
    <w:basedOn w:val="1"/>
    <w:qFormat/>
    <w:uiPriority w:val="0"/>
    <w:pPr>
      <w:widowControl/>
      <w:ind w:firstLine="420" w:firstLineChars="200"/>
      <w:jc w:val="left"/>
    </w:pPr>
    <w:rPr>
      <w:rFonts w:ascii="宋体" w:hAnsi="宋体" w:cs="宋体"/>
      <w:kern w:val="0"/>
      <w:sz w:val="24"/>
      <w:szCs w:val="24"/>
    </w:rPr>
  </w:style>
  <w:style w:type="character" w:customStyle="1" w:styleId="36">
    <w:name w:val="批注文字 Char"/>
    <w:basedOn w:val="22"/>
    <w:link w:val="7"/>
    <w:semiHidden/>
    <w:qFormat/>
    <w:uiPriority w:val="0"/>
    <w:rPr>
      <w:rFonts w:ascii="Times New Roman" w:hAnsi="Times New Roman" w:eastAsia="宋体" w:cs="Times New Roman"/>
      <w:szCs w:val="24"/>
    </w:rPr>
  </w:style>
  <w:style w:type="character" w:customStyle="1" w:styleId="37">
    <w:name w:val="批注主题 Char"/>
    <w:basedOn w:val="36"/>
    <w:link w:val="19"/>
    <w:semiHidden/>
    <w:qFormat/>
    <w:uiPriority w:val="0"/>
    <w:rPr>
      <w:b/>
      <w:bCs/>
    </w:rPr>
  </w:style>
  <w:style w:type="character" w:customStyle="1" w:styleId="38">
    <w:name w:val="批注框文本 Char"/>
    <w:basedOn w:val="22"/>
    <w:link w:val="13"/>
    <w:semiHidden/>
    <w:qFormat/>
    <w:uiPriority w:val="0"/>
    <w:rPr>
      <w:rFonts w:ascii="Times New Roman" w:hAnsi="Times New Roman" w:eastAsia="宋体" w:cs="Times New Roman"/>
      <w:sz w:val="18"/>
      <w:szCs w:val="18"/>
    </w:rPr>
  </w:style>
  <w:style w:type="paragraph" w:customStyle="1" w:styleId="3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日期 Char"/>
    <w:basedOn w:val="22"/>
    <w:link w:val="12"/>
    <w:qFormat/>
    <w:uiPriority w:val="0"/>
    <w:rPr>
      <w:rFonts w:ascii="Times New Roman" w:hAnsi="Times New Roman" w:eastAsia="宋体" w:cs="Times New Roman"/>
      <w:szCs w:val="24"/>
    </w:rPr>
  </w:style>
  <w:style w:type="character" w:customStyle="1" w:styleId="41">
    <w:name w:val="xzzh"/>
    <w:basedOn w:val="22"/>
    <w:qFormat/>
    <w:uiPriority w:val="0"/>
  </w:style>
  <w:style w:type="character" w:customStyle="1" w:styleId="42">
    <w:name w:val="g-font-color"/>
    <w:basedOn w:val="22"/>
    <w:qFormat/>
    <w:uiPriority w:val="0"/>
  </w:style>
  <w:style w:type="character" w:customStyle="1" w:styleId="43">
    <w:name w:val="font21"/>
    <w:basedOn w:val="22"/>
    <w:qFormat/>
    <w:uiPriority w:val="0"/>
    <w:rPr>
      <w:rFonts w:hint="eastAsia" w:ascii="宋体" w:hAnsi="宋体" w:eastAsia="宋体" w:cs="宋体"/>
      <w:color w:val="000000"/>
      <w:sz w:val="22"/>
      <w:szCs w:val="22"/>
      <w:u w:val="none"/>
    </w:rPr>
  </w:style>
  <w:style w:type="paragraph" w:customStyle="1" w:styleId="44">
    <w:name w:val="Other|1"/>
    <w:basedOn w:val="1"/>
    <w:qFormat/>
    <w:uiPriority w:val="0"/>
    <w:pPr>
      <w:widowControl w:val="0"/>
      <w:shd w:val="clear" w:color="auto" w:fill="auto"/>
      <w:spacing w:line="245" w:lineRule="auto"/>
    </w:pPr>
    <w:rPr>
      <w:rFonts w:ascii="宋体" w:hAnsi="宋体" w:eastAsia="宋体" w:cs="宋体"/>
      <w:sz w:val="56"/>
      <w:szCs w:val="56"/>
      <w:u w:val="none"/>
      <w:shd w:val="clear" w:color="auto" w:fill="auto"/>
      <w:lang w:val="zh-TW" w:eastAsia="zh-TW" w:bidi="zh-TW"/>
    </w:rPr>
  </w:style>
  <w:style w:type="character" w:customStyle="1" w:styleId="45">
    <w:name w:val="Intense Reference"/>
    <w:basedOn w:val="22"/>
    <w:qFormat/>
    <w:uiPriority w:val="32"/>
    <w:rPr>
      <w:b/>
      <w:bCs/>
      <w:smallCaps/>
      <w:color w:val="C0504D" w:themeColor="accent2"/>
      <w:spacing w:val="5"/>
      <w:u w:val="single"/>
    </w:rPr>
  </w:style>
  <w:style w:type="paragraph" w:customStyle="1" w:styleId="46">
    <w:name w:val="图表标题"/>
    <w:basedOn w:val="1"/>
    <w:next w:val="1"/>
    <w:link w:val="48"/>
    <w:qFormat/>
    <w:uiPriority w:val="0"/>
    <w:pPr>
      <w:spacing w:line="360" w:lineRule="auto"/>
      <w:ind w:firstLine="0" w:firstLineChars="0"/>
      <w:jc w:val="center"/>
    </w:pPr>
    <w:rPr>
      <w:rFonts w:ascii="Times New Roman" w:hAnsi="Times New Roman" w:eastAsia="楷体"/>
      <w:b/>
      <w:sz w:val="28"/>
      <w:szCs w:val="21"/>
      <w:vertAlign w:val="baseline"/>
    </w:rPr>
  </w:style>
  <w:style w:type="paragraph" w:customStyle="1" w:styleId="47">
    <w:name w:val="表格模板"/>
    <w:next w:val="8"/>
    <w:qFormat/>
    <w:uiPriority w:val="0"/>
    <w:pPr>
      <w:spacing w:line="360" w:lineRule="auto"/>
      <w:jc w:val="center"/>
    </w:pPr>
    <w:rPr>
      <w:rFonts w:ascii="Times New Roman" w:hAnsi="Times New Roman" w:eastAsia="微软雅黑" w:cstheme="minorBidi"/>
      <w:sz w:val="24"/>
    </w:rPr>
  </w:style>
  <w:style w:type="character" w:customStyle="1" w:styleId="48">
    <w:name w:val="图表标题 Char"/>
    <w:link w:val="46"/>
    <w:qFormat/>
    <w:uiPriority w:val="0"/>
    <w:rPr>
      <w:rFonts w:ascii="Times New Roman" w:hAnsi="Times New Roman" w:eastAsia="楷体"/>
      <w:b/>
      <w:sz w:val="28"/>
      <w:szCs w:val="21"/>
      <w:vertAlign w:val="base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28654;&#38451;&#21307;&#19987;&#35843;&#26597;&#25968;&#25454;1209143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8654;&#38451;&#21307;&#19987;&#35843;&#26597;&#25968;&#25454;1209143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28654;&#38451;&#21307;&#19987;&#35843;&#26597;&#25968;&#25454;120914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029414968951"/>
          <c:y val="0.0611075747931254"/>
          <c:w val="0.691186403747685"/>
          <c:h val="0.87062380649268"/>
        </c:manualLayout>
      </c:layout>
      <c:barChart>
        <c:barDir val="bar"/>
        <c:grouping val="clustered"/>
        <c:varyColors val="0"/>
        <c:ser>
          <c:idx val="0"/>
          <c:order val="0"/>
          <c:spPr>
            <a:solidFill>
              <a:srgbClr val="365B7C"/>
            </a:solidFill>
            <a:ln w="57150" cmpd="dbl">
              <a:noFill/>
            </a:ln>
            <a:effectLst/>
          </c:spPr>
          <c:invertIfNegative val="0"/>
          <c:dLbls>
            <c:dLbl>
              <c:idx val="4"/>
              <c:layout>
                <c:manualLayout>
                  <c:x val="-1.26318708579573e-16"/>
                  <c:y val="-0.041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[濮阳医专调查数据12091431.xlsx]Sheet1!$A$752:$A$763</c:f>
              <c:strCache>
                <c:ptCount val="12"/>
                <c:pt idx="1">
                  <c:v>2000及以下</c:v>
                </c:pt>
                <c:pt idx="2">
                  <c:v>2500</c:v>
                </c:pt>
                <c:pt idx="3">
                  <c:v>3000</c:v>
                </c:pt>
                <c:pt idx="4">
                  <c:v>3500</c:v>
                </c:pt>
                <c:pt idx="5">
                  <c:v>4000</c:v>
                </c:pt>
                <c:pt idx="6">
                  <c:v>4500</c:v>
                </c:pt>
                <c:pt idx="7">
                  <c:v>5000</c:v>
                </c:pt>
                <c:pt idx="8">
                  <c:v>6000</c:v>
                </c:pt>
                <c:pt idx="9">
                  <c:v>7000</c:v>
                </c:pt>
                <c:pt idx="10">
                  <c:v>8000</c:v>
                </c:pt>
                <c:pt idx="11">
                  <c:v>9000</c:v>
                </c:pt>
              </c:strCache>
            </c:strRef>
          </c:cat>
          <c:val>
            <c:numRef>
              <c:f>[濮阳医专调查数据12091431.xlsx]Sheet1!$B$752:$B$763</c:f>
              <c:numCache>
                <c:formatCode>General</c:formatCode>
                <c:ptCount val="12"/>
                <c:pt idx="1" c:formatCode="0.00%">
                  <c:v>0.22198275862069</c:v>
                </c:pt>
                <c:pt idx="2" c:formatCode="0.00%">
                  <c:v>0.174568965517241</c:v>
                </c:pt>
                <c:pt idx="3" c:formatCode="0.00%">
                  <c:v>0.206896551724138</c:v>
                </c:pt>
                <c:pt idx="4" c:formatCode="0.00%">
                  <c:v>0.28448275862069</c:v>
                </c:pt>
                <c:pt idx="5" c:formatCode="0.00%">
                  <c:v>0.0538793103448276</c:v>
                </c:pt>
                <c:pt idx="6" c:formatCode="0.00%">
                  <c:v>0.0172413793103448</c:v>
                </c:pt>
                <c:pt idx="7" c:formatCode="0.00%">
                  <c:v>0.0280172413793103</c:v>
                </c:pt>
                <c:pt idx="8" c:formatCode="0.00%">
                  <c:v>0.00431034482758621</c:v>
                </c:pt>
                <c:pt idx="9" c:formatCode="0.00%">
                  <c:v>0.00431034482758621</c:v>
                </c:pt>
                <c:pt idx="10" c:formatCode="0.00%">
                  <c:v>0.0021551724137931</c:v>
                </c:pt>
                <c:pt idx="11" c:formatCode="0.00%">
                  <c:v>0.0021551724137931</c:v>
                </c:pt>
              </c:numCache>
            </c:numRef>
          </c:val>
        </c:ser>
        <c:dLbls>
          <c:showLegendKey val="0"/>
          <c:showVal val="1"/>
          <c:showCatName val="0"/>
          <c:showSerName val="0"/>
          <c:showPercent val="0"/>
          <c:showBubbleSize val="0"/>
        </c:dLbls>
        <c:gapWidth val="311"/>
        <c:overlap val="-67"/>
        <c:axId val="855339783"/>
        <c:axId val="538218826"/>
      </c:barChart>
      <c:catAx>
        <c:axId val="855339783"/>
        <c:scaling>
          <c:orientation val="minMax"/>
        </c:scaling>
        <c:delete val="0"/>
        <c:axPos val="l"/>
        <c:numFmt formatCode="General" sourceLinked="0"/>
        <c:majorTickMark val="none"/>
        <c:minorTickMark val="none"/>
        <c:tickLblPos val="nextTo"/>
        <c:spPr>
          <a:noFill/>
          <a:ln w="9525" cap="flat" cmpd="sng" algn="ctr">
            <a:solidFill>
              <a:schemeClr val="bg1">
                <a:lumMod val="85000"/>
                <a:alpha val="83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538218826"/>
        <c:crosses val="autoZero"/>
        <c:auto val="1"/>
        <c:lblAlgn val="ctr"/>
        <c:lblOffset val="100"/>
        <c:noMultiLvlLbl val="0"/>
      </c:catAx>
      <c:valAx>
        <c:axId val="53821882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55339783"/>
        <c:crosses val="autoZero"/>
        <c:crossBetween val="between"/>
      </c:valAx>
      <c:spPr>
        <a:noFill/>
        <a:ln>
          <a:noFill/>
        </a:ln>
        <a:effectLst/>
      </c:spPr>
    </c:plotArea>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436288901938"/>
          <c:y val="0.0963798777621063"/>
          <c:w val="0.841955372871403"/>
          <c:h val="0.835072872590503"/>
        </c:manualLayout>
      </c:layout>
      <c:barChart>
        <c:barDir val="col"/>
        <c:grouping val="clustered"/>
        <c:varyColors val="0"/>
        <c:ser>
          <c:idx val="0"/>
          <c:order val="0"/>
          <c:spPr>
            <a:solidFill>
              <a:schemeClr val="accent5">
                <a:lumMod val="50000"/>
              </a:schemeClr>
            </a:solidFill>
            <a:ln>
              <a:noFill/>
            </a:ln>
            <a:effectLst/>
          </c:spPr>
          <c:invertIfNegative val="0"/>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82.14%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93045028979046"/>
                      <c:h val="0.0906666666666667"/>
                    </c:manualLayout>
                  </c15:layout>
                </c:ext>
              </c:extLst>
            </c:dLbl>
            <c:dLbl>
              <c:idx val="1"/>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78.49%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6116807846634"/>
                      <c:h val="0.0868571428571429"/>
                    </c:manualLayout>
                  </c15:layout>
                </c:ext>
              </c:extLst>
            </c:dLbl>
            <c:dLbl>
              <c:idx val="2"/>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73.97%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[濮阳医专调查数据12091431.xlsx]Sheet1!$A$83:$A$85</c:f>
              <c:strCache>
                <c:ptCount val="3"/>
                <c:pt idx="0">
                  <c:v>助产</c:v>
                </c:pt>
                <c:pt idx="1">
                  <c:v>药学</c:v>
                </c:pt>
                <c:pt idx="2">
                  <c:v>护理</c:v>
                </c:pt>
              </c:strCache>
            </c:strRef>
          </c:cat>
          <c:val>
            <c:numRef>
              <c:f>[濮阳医专调查数据12091431.xlsx]Sheet1!$B$83:$B$85</c:f>
              <c:numCache>
                <c:formatCode>0.00%</c:formatCode>
                <c:ptCount val="3"/>
                <c:pt idx="0">
                  <c:v>0.8214</c:v>
                </c:pt>
                <c:pt idx="1">
                  <c:v>0.7849</c:v>
                </c:pt>
                <c:pt idx="2">
                  <c:v>0.7397</c:v>
                </c:pt>
              </c:numCache>
            </c:numRef>
          </c:val>
        </c:ser>
        <c:dLbls>
          <c:showLegendKey val="0"/>
          <c:showVal val="1"/>
          <c:showCatName val="0"/>
          <c:showSerName val="0"/>
          <c:showPercent val="0"/>
          <c:showBubbleSize val="0"/>
        </c:dLbls>
        <c:gapWidth val="219"/>
        <c:overlap val="-27"/>
        <c:axId val="504870706"/>
        <c:axId val="478659962"/>
      </c:barChart>
      <c:catAx>
        <c:axId val="50487070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478659962"/>
        <c:crosses val="autoZero"/>
        <c:auto val="1"/>
        <c:lblAlgn val="ctr"/>
        <c:lblOffset val="100"/>
        <c:noMultiLvlLbl val="0"/>
      </c:catAx>
      <c:valAx>
        <c:axId val="478659962"/>
        <c:scaling>
          <c:orientation val="minMax"/>
          <c:min val="0"/>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0487070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573976696345"/>
          <c:y val="0.198953911617584"/>
          <c:w val="0.408552723220504"/>
          <c:h val="0.69256198347107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411469957247148"/>
                  <c:y val="0"/>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18013304316958"/>
                  <c:y val="0.065422270440743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25277777777778"/>
                  <c:y val="0.078935185185185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[濮阳医专调查数据12091431.xlsx]Sheet1!$A$97:$A$101</c:f>
              <c:strCache>
                <c:ptCount val="5"/>
                <c:pt idx="0">
                  <c:v>不满意</c:v>
                </c:pt>
                <c:pt idx="1">
                  <c:v>很不满意</c:v>
                </c:pt>
                <c:pt idx="2">
                  <c:v>很满意</c:v>
                </c:pt>
                <c:pt idx="3">
                  <c:v>满意</c:v>
                </c:pt>
                <c:pt idx="4">
                  <c:v>一般</c:v>
                </c:pt>
              </c:strCache>
            </c:strRef>
          </c:cat>
          <c:val>
            <c:numRef>
              <c:f>[濮阳医专调查数据12091431.xlsx]Sheet1!$B$97:$B$101</c:f>
              <c:numCache>
                <c:formatCode>General</c:formatCode>
                <c:ptCount val="5"/>
                <c:pt idx="0">
                  <c:v>24</c:v>
                </c:pt>
                <c:pt idx="1">
                  <c:v>17</c:v>
                </c:pt>
                <c:pt idx="2">
                  <c:v>42</c:v>
                </c:pt>
                <c:pt idx="3">
                  <c:v>132</c:v>
                </c:pt>
                <c:pt idx="4">
                  <c:v>249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E9818-A458-4AA5-8755-4D7401B6B0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35610</Words>
  <Characters>40590</Characters>
  <Lines>175</Lines>
  <Paragraphs>49</Paragraphs>
  <TotalTime>1</TotalTime>
  <ScaleCrop>false</ScaleCrop>
  <LinksUpToDate>false</LinksUpToDate>
  <CharactersWithSpaces>40743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2018-05-17T03:03:00Z</dcterms:created>
  <dc:creator>微软用户</dc:creator>
  <cp:lastModifiedBy>Lenovo</cp:lastModifiedBy>
  <cp:lastPrinted>2018-11-29T09:09:00Z</cp:lastPrinted>
  <dcterms:modified xsi:type="dcterms:W3CDTF">2021-03-15T00:51:42Z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