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3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6"/>
                <w:sz w:val="24"/>
              </w:rPr>
              <w:t>2020年度濮阳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市社科重点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调研课题 编号：pysk-20212</w:t>
            </w:r>
          </w:p>
        </w:tc>
      </w:tr>
    </w:tbl>
    <w:p>
      <w:pPr>
        <w:jc w:val="center"/>
        <w:rPr>
          <w:b/>
          <w:bCs/>
          <w:sz w:val="36"/>
          <w:szCs w:val="44"/>
        </w:rPr>
      </w:pPr>
    </w:p>
    <w:p>
      <w:pPr>
        <w:jc w:val="center"/>
        <w:rPr>
          <w:b/>
          <w:bCs/>
          <w:sz w:val="36"/>
          <w:szCs w:val="44"/>
        </w:rPr>
      </w:pPr>
    </w:p>
    <w:p>
      <w:pPr>
        <w:jc w:val="center"/>
        <w:rPr>
          <w:b/>
          <w:bCs/>
          <w:sz w:val="36"/>
          <w:szCs w:val="44"/>
        </w:rPr>
      </w:pPr>
    </w:p>
    <w:p>
      <w:pPr>
        <w:jc w:val="center"/>
        <w:rPr>
          <w:b/>
          <w:bCs/>
          <w:sz w:val="36"/>
          <w:szCs w:val="44"/>
        </w:rPr>
      </w:pPr>
    </w:p>
    <w:p>
      <w:pPr>
        <w:spacing w:line="800" w:lineRule="exact"/>
        <w:jc w:val="center"/>
        <w:rPr>
          <w:rFonts w:ascii="方正小标宋_GBK" w:hAnsi="方正小标宋_GBK" w:eastAsia="方正小标宋_GBK" w:cs="方正小标宋_GBK"/>
          <w:b/>
          <w:bCs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w w:val="90"/>
          <w:sz w:val="44"/>
          <w:szCs w:val="44"/>
        </w:rPr>
        <w:t>新冠肺炎疫情下建设安全健康校园问题研究</w:t>
      </w:r>
    </w:p>
    <w:p>
      <w:pPr>
        <w:spacing w:line="800" w:lineRule="exact"/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spacing w:line="640" w:lineRule="exact"/>
        <w:ind w:firstLine="1440" w:firstLineChars="400"/>
        <w:rPr>
          <w:rFonts w:ascii="Times New Roman" w:hAnsi="Times New Roman" w:eastAsia="仿宋" w:cs="Times New Roman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课题主持人：袁俊斋   </w:t>
      </w:r>
    </w:p>
    <w:p>
      <w:pPr>
        <w:spacing w:line="640" w:lineRule="exact"/>
        <w:ind w:firstLine="1440" w:firstLineChars="40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课题组成员：李占霞</w:t>
      </w:r>
    </w:p>
    <w:p>
      <w:pPr>
        <w:spacing w:line="640" w:lineRule="exact"/>
        <w:ind w:firstLine="3600" w:firstLineChars="100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袁会娟</w:t>
      </w:r>
    </w:p>
    <w:p>
      <w:pPr>
        <w:spacing w:line="640" w:lineRule="exact"/>
        <w:ind w:firstLine="3600" w:firstLineChars="100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赵爱华</w:t>
      </w:r>
    </w:p>
    <w:p>
      <w:pPr>
        <w:spacing w:line="640" w:lineRule="exact"/>
        <w:ind w:firstLine="3600" w:firstLineChars="100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周伟明</w:t>
      </w:r>
    </w:p>
    <w:p>
      <w:pPr>
        <w:spacing w:line="1000" w:lineRule="exact"/>
        <w:ind w:firstLine="2880" w:firstLineChars="900"/>
        <w:rPr>
          <w:rFonts w:ascii="仿宋" w:hAnsi="仿宋" w:eastAsia="仿宋" w:cs="仿宋"/>
          <w:sz w:val="32"/>
          <w:szCs w:val="32"/>
        </w:rPr>
      </w:pPr>
    </w:p>
    <w:p>
      <w:pPr>
        <w:spacing w:line="760" w:lineRule="exact"/>
        <w:ind w:firstLine="2880" w:firstLineChars="900"/>
        <w:rPr>
          <w:rFonts w:ascii="仿宋" w:hAnsi="仿宋" w:eastAsia="仿宋" w:cs="仿宋"/>
          <w:sz w:val="32"/>
          <w:szCs w:val="32"/>
        </w:rPr>
      </w:pPr>
    </w:p>
    <w:p>
      <w:pPr>
        <w:spacing w:line="64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主持人单位：濮阳医学高等专科学校</w:t>
      </w:r>
    </w:p>
    <w:p>
      <w:pPr>
        <w:spacing w:line="640" w:lineRule="exact"/>
        <w:ind w:firstLine="1896" w:firstLineChars="40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pacing w:val="57"/>
          <w:sz w:val="36"/>
          <w:szCs w:val="36"/>
        </w:rPr>
        <w:t>完成时</w:t>
      </w:r>
      <w:r>
        <w:rPr>
          <w:rFonts w:hint="eastAsia" w:ascii="仿宋" w:hAnsi="仿宋" w:eastAsia="仿宋" w:cs="仿宋"/>
          <w:sz w:val="36"/>
          <w:szCs w:val="36"/>
        </w:rPr>
        <w:t>间：</w:t>
      </w:r>
      <w:r>
        <w:rPr>
          <w:rFonts w:ascii="Times New Roman" w:hAnsi="Times New Roman" w:eastAsia="仿宋" w:cs="Times New Roman"/>
          <w:sz w:val="36"/>
          <w:szCs w:val="36"/>
        </w:rPr>
        <w:t>20</w:t>
      </w:r>
      <w:r>
        <w:rPr>
          <w:rFonts w:hint="eastAsia" w:ascii="Times New Roman" w:hAnsi="Times New Roman" w:eastAsia="仿宋" w:cs="Times New Roman"/>
          <w:sz w:val="36"/>
          <w:szCs w:val="36"/>
        </w:rPr>
        <w:t>20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ascii="Times New Roman" w:hAnsi="Times New Roman" w:eastAsia="仿宋" w:cs="Times New Roman"/>
          <w:sz w:val="36"/>
          <w:szCs w:val="36"/>
        </w:rPr>
        <w:t>11</w:t>
      </w:r>
      <w:r>
        <w:rPr>
          <w:rFonts w:hint="eastAsia" w:ascii="仿宋" w:hAnsi="仿宋" w:eastAsia="仿宋" w:cs="仿宋"/>
          <w:sz w:val="36"/>
          <w:szCs w:val="36"/>
        </w:rPr>
        <w:t>月</w:t>
      </w:r>
    </w:p>
    <w:p>
      <w:pPr>
        <w:jc w:val="center"/>
        <w:rPr>
          <w:b/>
          <w:bCs/>
          <w:sz w:val="36"/>
          <w:szCs w:val="44"/>
        </w:rPr>
      </w:pP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1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目    录</w:t>
      </w:r>
    </w:p>
    <w:p>
      <w:pPr>
        <w:spacing w:line="610" w:lineRule="exact"/>
        <w:ind w:firstLine="883" w:firstLineChars="200"/>
        <w:jc w:val="left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61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国内外新冠肺炎疫情现状及校园突发公共卫生事件应对现状………………………………………………………（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610" w:lineRule="exact"/>
        <w:jc w:val="left"/>
        <w:rPr>
          <w:rFonts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国内外新冠肺炎疫情应对现状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……………………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610" w:lineRule="exact"/>
        <w:jc w:val="left"/>
        <w:rPr>
          <w:rFonts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1.采取遏制策略有效控制新冠疫情……………………………（2）</w:t>
      </w:r>
    </w:p>
    <w:p>
      <w:pPr>
        <w:spacing w:line="610" w:lineRule="exact"/>
        <w:jc w:val="left"/>
        <w:rPr>
          <w:rFonts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2.采取缓解策略使新冠肺炎疫情失控蔓延……………………（3）</w:t>
      </w:r>
    </w:p>
    <w:p>
      <w:pPr>
        <w:spacing w:line="610" w:lineRule="exact"/>
        <w:jc w:val="left"/>
        <w:rPr>
          <w:rFonts w:ascii="楷体_GB2312" w:hAnsi="楷体_GB2312" w:eastAsia="楷体_GB2312" w:cs="楷体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（二）国内外校园突发公共卫生事件现有应对措施……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（3）</w:t>
      </w:r>
    </w:p>
    <w:p>
      <w:pPr>
        <w:spacing w:line="610" w:lineRule="exact"/>
        <w:jc w:val="left"/>
        <w:rPr>
          <w:rFonts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1.校园突发公共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事件应急条例及预案制定………………（3）</w:t>
      </w:r>
    </w:p>
    <w:p>
      <w:pPr>
        <w:spacing w:line="610" w:lineRule="exact"/>
        <w:jc w:val="left"/>
        <w:rPr>
          <w:rFonts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2.校园公共卫生信息监测系统的运用…………………………（4）</w:t>
      </w:r>
    </w:p>
    <w:p>
      <w:pPr>
        <w:spacing w:line="610" w:lineRule="exact"/>
        <w:jc w:val="left"/>
        <w:rPr>
          <w:rFonts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3.全面普及健康教育系统………………………………………（5）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（三）新冠肺炎疫情对国内外学校教学的影响…………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（5）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（四）濮阳市学校新冠肺炎疫情应对现状………………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（7）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二、新冠疫情下校园突发公共卫生事件防控现存问题…（8）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（一）国外突发公共卫生事件防控现存问题……………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（8）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（二）国内突发公共卫生事件防控现存问题……………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（8）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1.学校突发公共卫生事件机构体系不完善……………………（8）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2.学校联防联控机制不完善……………………………………（9）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3.大数据时代运用媒体能力不成熟……………………………（9）</w:t>
      </w:r>
    </w:p>
    <w:p>
      <w:pPr>
        <w:spacing w:line="610" w:lineRule="exact"/>
        <w:jc w:val="left"/>
        <w:rPr>
          <w:rFonts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（三）新冠肺炎疫情疫苗未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研制成功影响有效防控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………（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楷体" w:hAnsi="楷体" w:eastAsia="楷体" w:cs="楷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（四）我国校医等校园疫情防控存在问题………………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（10）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1.校医等校园疫情防控队伍实力不足………………………（10）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2.校医应对疫情能力不足……………………………………（1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（五）学生对疫情健康教育知识水平较低………………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（11）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（六）新冠疫情对学校教学活动的影响…………………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（七）我校疫情防控工作中现存问题……………………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三、新冠疫情下建设安全健康校园应采取的应对措施…（1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（一）响应和执行国家、省级卫生教育部门关于学校突发公共卫生事件防控部署……………………………………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…………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（13）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（二）建立健全校园突发公共卫生防控体系…………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1.确定领导为核心、医疗公卫人员为主力的校园防控体系……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……………………………………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……………………（1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2.加强高校公共卫生人才队伍建设…………………………（14）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3.完善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和实施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高校突发公共卫生防控方案和制度…………（1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4.采取“网格化”封闭管理模式确保校园安全……………（15）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5.建设学校常规公共卫生事件监测系统……………………（1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610" w:lineRule="exact"/>
        <w:jc w:val="left"/>
        <w:rPr>
          <w:rFonts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6.筹建医学观察隔离区………………………………………（16）</w:t>
      </w:r>
    </w:p>
    <w:p>
      <w:pPr>
        <w:spacing w:line="610" w:lineRule="exact"/>
        <w:jc w:val="left"/>
        <w:rPr>
          <w:rFonts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7.做好联防联控工作…………………………………………（16）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（三）加强高校突发公共卫生事件防控长效机制建设……（1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1.强化校园公共卫生信息监测系统的有效运用……………（1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2.加强公共卫生健康教育及应急演练常态化………………（1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3.健全校园公共卫生事件应急物资储备链…………………（17）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（四）开展学生健康教育活动，促进健康行为培养…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（五）科学及时开展心理疏导…………………………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（18）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1.进行全员学生调查，了解学生心理和情绪状况…………（1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2.重点关注和跟踪中重疫情风险区或出现心理情绪有异常倾向的学生…………………………………………………………（1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（六）顺势拓宽线上线下教育内容，增强学生爱国理想信念…………………………………………………………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楷体_GB2312" w:hAnsi="楷体_GB2312" w:eastAsia="楷体_GB2312" w:cs="楷体_GB2312"/>
          <w:color w:val="000000" w:themeColor="text1"/>
          <w:spacing w:val="-1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（19）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1.培养学生社会主义认同感，弘扬爱国职业精神…………（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rPr>
          <w:rFonts w:ascii="楷体" w:hAnsi="楷体" w:eastAsia="楷体" w:cs="楷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2.加强学生学习抗疫精神及学医救国救民等志向引导……（20）</w:t>
      </w:r>
    </w:p>
    <w:p>
      <w:pP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br w:type="page"/>
      </w:r>
    </w:p>
    <w:p>
      <w:pPr>
        <w:spacing w:line="610" w:lineRule="exact"/>
        <w:jc w:val="center"/>
        <w:rPr>
          <w:b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新冠肺炎疫情下建设安全健康校园问题研究</w:t>
      </w:r>
    </w:p>
    <w:p>
      <w:pPr>
        <w:spacing w:line="610" w:lineRule="exact"/>
        <w:ind w:firstLine="560" w:firstLineChars="200"/>
        <w:jc w:val="left"/>
        <w:rPr>
          <w:sz w:val="28"/>
          <w:szCs w:val="36"/>
        </w:rPr>
      </w:pP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新冠肺炎疫情严重影响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。国家提出“停学不停课”重大举措。在国家党委正确指挥下，疫情防控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持续几个月后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趋于平稳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学生安全平稳返校上课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成为急需解决的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1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一、国内外新冠肺炎疫情及校园突发公共卫生事件应对现状</w:t>
      </w:r>
    </w:p>
    <w:p>
      <w:pPr>
        <w:spacing w:line="610" w:lineRule="exact"/>
        <w:ind w:firstLine="640" w:firstLineChars="200"/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（一）国内外新冠肺炎疫情应对现状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遏制策略有效控制新冠疫情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遏制策略是指以控制流行、彻底阻断传播、消除危害为防控目标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通过积极调查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针对潜伏期和隐性感染者采取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措施，阻断传播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的策略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。早发现、早报告、早隔离、早治疗，是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核心措施。我国及新加坡等国家采取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策略，有效控制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新冠疫情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缓解策略使新冠肺炎疫情失控蔓延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缓解策略是以控制传播、延缓流行速度、减轻总体危害为防控目标，但不完全阻断传染，而是让其在有控制的状态下慢速流行，直到人群形成足够的免疫屏障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自行终止的策略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。如美国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使用该策略，防控效果令人失望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10" w:lineRule="exact"/>
        <w:ind w:firstLine="640" w:firstLineChars="200"/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（二）国内外校园突发公共卫生事件现有应对措施</w:t>
      </w:r>
    </w:p>
    <w:p>
      <w:pPr>
        <w:spacing w:line="61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校园突发公共卫生事件应急条例及预案制定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非典疫情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促使国家颁布了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《突发公共卫生事件应急条例》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《教育系统突发公共卫生事件应急预案》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各级学校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要求成立应急领导小组，统一指挥，迅速应对。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国外如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美国高校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依据《危机计划的实用资料：学校与社区指南》，不断完善突发公共卫生应急预案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校园公共卫生信息监测系统的运用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我国学校突发公共卫生事件应急领导小组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报告内容复核评估，确定为突发公共卫生事件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时立即采取有效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措施，消除致病因素，将危害降至最小。同时，向上级主管部门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进行报告或申请援助。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采用信息监测系统进行早期预警，达到早发现的目的。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美国有一整套应对突发公共卫生事件的体系，发挥强有力的指挥作用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英国也将公共卫生监测系统应用于各个学校。</w:t>
      </w:r>
    </w:p>
    <w:p>
      <w:pPr>
        <w:numPr>
          <w:ilvl w:val="0"/>
          <w:numId w:val="2"/>
        </w:num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全面普及健康教育系统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加强健康教育是大多数学校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突发公共卫生事件的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重要措施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日本师生面对地震等突发事件能较为冷静，与国家重视全民危机意识的普及教育密切相关。</w:t>
      </w:r>
    </w:p>
    <w:p>
      <w:pPr>
        <w:pStyle w:val="4"/>
        <w:widowControl/>
        <w:shd w:val="clear" w:color="auto" w:fill="FFFFFF"/>
        <w:spacing w:beforeAutospacing="0" w:afterAutospacing="0" w:line="61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（三）新冠肺炎疫情对国内外学校教学的影响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严峻的新冠肺炎疫情，造成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重点疫区封城、居民居家隔离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学校只能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“停学不停课”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开展线上教学。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国外疫情迅猛蔓延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欧美等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很快沦为疫情“震中”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受到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巨大影响，如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3月份美国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学校宣布进入公共卫生紧急状态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取线上授课。</w:t>
      </w:r>
    </w:p>
    <w:p>
      <w:pPr>
        <w:spacing w:line="610" w:lineRule="exact"/>
        <w:ind w:firstLine="640" w:firstLineChars="200"/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（四）濮阳市学校新冠肺炎疫情应对现状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濮阳市新冠肺炎疫情防控指挥部根据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疫情防控要求，统筹安排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各级卫生教育等行政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单位，对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全市居民（包括全体师生）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进行疫区排查、居家隔离、核酸检测，对确诊病例、疑似病例及密切接触者及时隔离观察治疗，最大力度地控制了新冠肺炎疫情。</w:t>
      </w:r>
    </w:p>
    <w:p>
      <w:pPr>
        <w:spacing w:line="61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二、新冠疫情下校园突发公共卫生事件防控现存问题</w:t>
      </w:r>
    </w:p>
    <w:p>
      <w:pPr>
        <w:spacing w:line="610" w:lineRule="exact"/>
        <w:ind w:firstLine="640" w:firstLineChars="200"/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（一）国外突发公共卫生事件防控现存问题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国外高校突发公共卫生事件问题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相关报道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缺乏。但2020年新冠疫情在美国、法国、德国等国家肆虐大流行现状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疫情防控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问题凸显。</w:t>
      </w:r>
    </w:p>
    <w:p>
      <w:pPr>
        <w:spacing w:line="610" w:lineRule="exact"/>
        <w:ind w:firstLine="640" w:firstLineChars="200"/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（二）国内突发公共卫生事件防控现存问题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禽流感、中东呼吸综合征等疫情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促使我国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疫情应对措施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逐步完善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但仍存在诸多问题。</w:t>
      </w:r>
    </w:p>
    <w:p>
      <w:pPr>
        <w:numPr>
          <w:ilvl w:val="0"/>
          <w:numId w:val="3"/>
        </w:num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学校突发公共卫生事件机构体系不完善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校应急队伍一般由学校领导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医学专业技术人员实力薄弱或缺乏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该队伍建设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缺乏专业科学性。</w:t>
      </w:r>
    </w:p>
    <w:p>
      <w:pPr>
        <w:numPr>
          <w:ilvl w:val="0"/>
          <w:numId w:val="3"/>
        </w:num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学校联防联控机制不完善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联防联控机制不完善，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造成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红外线测温仪、一次性医用口罩、医用防护服等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防控物资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不能及时补充，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影响疫情防控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3"/>
        </w:num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运用媒体能力不成熟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有些学校媒体运用能力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引导师生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关注疫情，导致师生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信谣、传谣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10" w:lineRule="exact"/>
        <w:ind w:firstLine="640" w:firstLineChars="200"/>
        <w:jc w:val="left"/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（三）新冠肺炎疫情疫苗未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研制成功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目前尚无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新型冠状肺炎病毒疫苗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无特效治疗药物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只能对症处理，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直接关乎到广大师生的生命健康。</w:t>
      </w:r>
    </w:p>
    <w:p>
      <w:pPr>
        <w:spacing w:line="610" w:lineRule="exact"/>
        <w:ind w:firstLine="640" w:firstLineChars="200"/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（四）我国校医等校园疫情防控存在问题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校医队伍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实力严重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相关研究显示：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校医及保健教师空缺较大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公共卫生专业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奇缺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现有校医工作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力较低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1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校医疫情应对能力不足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据我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国东中西部中小学校调查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显示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校医室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处理突发情况、健康档案管理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传染病防治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缺乏疫情应对演练，应对能力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10" w:lineRule="exact"/>
        <w:ind w:firstLine="640" w:firstLineChars="200"/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（五）学生对疫情健康教育知识水平较低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调查显示：健康知识总知晓率仅45.83％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健康行为总形成率为58.24％。</w:t>
      </w:r>
    </w:p>
    <w:p>
      <w:pPr>
        <w:spacing w:line="610" w:lineRule="exact"/>
        <w:ind w:firstLine="640" w:firstLineChars="200"/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（六）新冠疫情对学校教学活动的影响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新冠肺炎疫情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只能网络上课，被迫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停止实习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调查实践等活动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甚至影响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毕业生答辩就业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研究生招生与复试等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严重影响教学任务及教学质量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10" w:lineRule="exact"/>
        <w:ind w:firstLine="640" w:firstLineChars="200"/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（七）我校疫情防控工作中现存问题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有一定的医疗能力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重视学生身心健康，但仍存在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问题。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如：临床医师重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轻防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；缺乏公卫专业人员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；疫情防控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缺如；居家隔离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造成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部分师生心情急躁；自律性差的学生玩手机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逃网课；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学生来源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跨省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，疫情调查难度较大，对于返校学习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存在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巨大安全隐患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等等。</w:t>
      </w:r>
    </w:p>
    <w:p>
      <w:pPr>
        <w:spacing w:line="61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三、新冠疫情下建设安全健康校园应采取的应对措施</w:t>
      </w:r>
    </w:p>
    <w:p>
      <w:pPr>
        <w:spacing w:line="610" w:lineRule="exact"/>
        <w:ind w:firstLine="640" w:firstLineChars="200"/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（一）响应和执行国家、省级卫生教育部门关于学校突发公共卫生事件防控部署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各高校应紧跟国家省市等疫情防控文件指示，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本校实际情况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开学前、返校中、开学后抗疫健康指导及疑似感染症状应急处置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等师生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返校应对措施。</w:t>
      </w:r>
    </w:p>
    <w:p>
      <w:pPr>
        <w:spacing w:line="610" w:lineRule="exact"/>
        <w:ind w:firstLine="640" w:firstLineChars="200"/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（二）建立健全校园突发公共卫生防控体系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确定领导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医疗公卫人员为主力的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校园防控体系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结合濮阳医专疫情防控经验，建议各高校成立“党政一把手”牵头的疫情指挥部，下设十大防控专项组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即宣传教育组、人员排查组、学生管控组、教学保障组、公共场所防控组、校园管控组、技术指导组、物质保障组、综合协调组以及督导问责组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并在技术指导组中及时吸纳了预防医学及公共卫生管理专业教师；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明确职责，责任到科、责任到人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上下联动，协同管理。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2.加强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校公共卫生人才队伍建设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加强校医、保健教师队伍建设，新聘校医应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提校医队伍整体素质。濮阳市卫健委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教育局首创首聘59名医疗卫生专家任“健康副校长”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帮助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提升学校疫情防控意识及应急能力，在今年的校园新冠疫情防控中起到可借鉴作用。</w:t>
      </w:r>
    </w:p>
    <w:p>
      <w:pPr>
        <w:spacing w:line="61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3.完善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突发公共卫生防控方案和制度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“三方案九制度”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并严抓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细化疫情防控工作预案、开学准备实施工作方案、应急管理工作方案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狠抓突发公共卫生事件报告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“九制度”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采取“网格化”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封闭管理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管理。对返校学生采取封闭式管理；对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全校区域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划分为五区：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教学管理区、后勤管理区、学生公寓区、综合办公区、校园管理区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疫情防控人员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五个网格管理组，主管领导为组长，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处室负责人为一级网格长。下设二到三级网格长。各级网格长主要负责排查监管、信息上报、协调联络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，确保本区域内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防控工作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全覆盖、全落实。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6.筹建医学观察隔离区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开学前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相对独立的场所设立隔离区，以便及时应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突发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疫情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7.做好联防联控工作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多数学校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无法单独做好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疫情防控，可以与疾病预防与控制中心、当地医院等联防联控，极力防止新冠肺炎疫情进校园。</w:t>
      </w:r>
    </w:p>
    <w:p>
      <w:pPr>
        <w:spacing w:line="610" w:lineRule="exact"/>
        <w:ind w:firstLine="640" w:firstLineChars="200"/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（三）加强高校突发公共卫生事件防控长效机制建设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强化校园公共卫生信息监测系统的有效运用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应常年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校园公共卫生信息监测系统对师生健康有效监测上报，达到早发现、早控制、保证师生健康的目的。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2.加强公共卫生健康教育及应急演练常态化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习近平总书记指出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预防是最经济最有效的健康策略。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各校应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定期举办师生健康教育讲座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组织突发卫生事件应急演练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3.健全校园公共卫生事件应急物资储备链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各校应建立专项的公共卫生事件应急资金项目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启动制度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获取链条，增强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校突发公共卫生事件应对能力。</w:t>
      </w:r>
    </w:p>
    <w:p>
      <w:pPr>
        <w:spacing w:line="610" w:lineRule="exact"/>
        <w:ind w:firstLine="640" w:firstLineChars="200"/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（四）开展个人防护健康教育活动，促进健康行为培养</w:t>
      </w:r>
    </w:p>
    <w:p>
      <w:pPr>
        <w:spacing w:line="610" w:lineRule="exact"/>
        <w:ind w:firstLine="640" w:firstLineChars="200"/>
        <w:jc w:val="left"/>
        <w:rPr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钉钉会议、云班课等网络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形式可以开展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个人健康防护教育，指导学生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健康生活。如：学习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消毒、合理膳食、适量运动、心理平衡、正确佩戴医用口罩等。</w:t>
      </w:r>
    </w:p>
    <w:p>
      <w:pPr>
        <w:spacing w:line="610" w:lineRule="exact"/>
        <w:ind w:firstLine="640" w:firstLineChars="200"/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（五）科学及时开展心理疏导</w:t>
      </w:r>
    </w:p>
    <w:p>
      <w:pPr>
        <w:numPr>
          <w:ilvl w:val="0"/>
          <w:numId w:val="4"/>
        </w:num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进行全员调查，了解学生心理状况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心理健康是身心健康的重要部分。通过问卷调查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形式，了解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学生心理状况，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开展心理疏导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4"/>
        </w:num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重点关注中重疫情风险区或心理异常的学生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中重疫情风险区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的疫情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威胁，会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对学生造成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情绪困扰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甚至心理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冲突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应关注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并帮助解决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10" w:lineRule="exact"/>
        <w:ind w:firstLine="640" w:firstLineChars="200"/>
        <w:jc w:val="left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（六）顺势拓宽线上教育内容，增强学生爱国信念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加强学生对党的信任，增强爱国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习总书记指出：爱国主义始终是把中华民族坚强团结在一起的精神力量。新冠肺炎疫情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，全国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一盘棋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彰显了中国特色社会主义制度的优越性。各个学校要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利用思政课、班会、征文、演讲等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网络教育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激其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爱国热情，弘扬爱国主义精神。</w:t>
      </w:r>
    </w:p>
    <w:p>
      <w:pPr>
        <w:spacing w:line="61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加强学生学习抗疫精神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学医救国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各学校教师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应及时宣教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疫情防控英雄人物等内容，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激发医学生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发奋图强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献身医学，点燃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学医救国。</w:t>
      </w:r>
    </w:p>
    <w:p>
      <w:pPr>
        <w:spacing w:line="61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在新冠肺炎疫情流行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校园突发公共卫生事件应对现状、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现存问题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及对策，有利于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学校有效防控疫情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保护师生安全健康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具有现存问题解决的及时性和实践性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我校新冠肺炎疫情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防控措施及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已由健康副校长在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兄弟学校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推广使用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为我市共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建安全健康校园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发挥了重要作用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1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2FA732"/>
    <w:multiLevelType w:val="singleLevel"/>
    <w:tmpl w:val="912FA73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CFE3727"/>
    <w:multiLevelType w:val="singleLevel"/>
    <w:tmpl w:val="DCFE372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8316AC5"/>
    <w:multiLevelType w:val="singleLevel"/>
    <w:tmpl w:val="18316AC5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3277A85E"/>
    <w:multiLevelType w:val="singleLevel"/>
    <w:tmpl w:val="3277A8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C6FB4"/>
    <w:rsid w:val="0009047E"/>
    <w:rsid w:val="000A465D"/>
    <w:rsid w:val="00104C1C"/>
    <w:rsid w:val="00112043"/>
    <w:rsid w:val="00113979"/>
    <w:rsid w:val="00147401"/>
    <w:rsid w:val="001B4783"/>
    <w:rsid w:val="002C482F"/>
    <w:rsid w:val="00356726"/>
    <w:rsid w:val="00472FEF"/>
    <w:rsid w:val="00546078"/>
    <w:rsid w:val="00831D5B"/>
    <w:rsid w:val="00934ECE"/>
    <w:rsid w:val="00991AD9"/>
    <w:rsid w:val="009D4CB4"/>
    <w:rsid w:val="00CD7AED"/>
    <w:rsid w:val="01284042"/>
    <w:rsid w:val="013E05E3"/>
    <w:rsid w:val="017B5CCD"/>
    <w:rsid w:val="01967764"/>
    <w:rsid w:val="02952B74"/>
    <w:rsid w:val="02E90580"/>
    <w:rsid w:val="030D46A3"/>
    <w:rsid w:val="04383B19"/>
    <w:rsid w:val="054C7A06"/>
    <w:rsid w:val="066B22DE"/>
    <w:rsid w:val="06974D65"/>
    <w:rsid w:val="073037DD"/>
    <w:rsid w:val="09C86409"/>
    <w:rsid w:val="0B536A99"/>
    <w:rsid w:val="0DC43F5F"/>
    <w:rsid w:val="0EB44C30"/>
    <w:rsid w:val="0F5C55BF"/>
    <w:rsid w:val="0FF82739"/>
    <w:rsid w:val="110132AF"/>
    <w:rsid w:val="11285675"/>
    <w:rsid w:val="11720432"/>
    <w:rsid w:val="119A6561"/>
    <w:rsid w:val="12372993"/>
    <w:rsid w:val="12404AC8"/>
    <w:rsid w:val="137F0635"/>
    <w:rsid w:val="14F207A0"/>
    <w:rsid w:val="150421A8"/>
    <w:rsid w:val="163D4B71"/>
    <w:rsid w:val="192C6A69"/>
    <w:rsid w:val="19840B1B"/>
    <w:rsid w:val="19F92A5F"/>
    <w:rsid w:val="1A0E34D0"/>
    <w:rsid w:val="1AAF196C"/>
    <w:rsid w:val="1B214BB9"/>
    <w:rsid w:val="1D5F53BB"/>
    <w:rsid w:val="1DC9625B"/>
    <w:rsid w:val="1FA10886"/>
    <w:rsid w:val="20025693"/>
    <w:rsid w:val="20EA31C3"/>
    <w:rsid w:val="224B4B3F"/>
    <w:rsid w:val="2292459F"/>
    <w:rsid w:val="22EB0224"/>
    <w:rsid w:val="23EC10AA"/>
    <w:rsid w:val="23EF2FAD"/>
    <w:rsid w:val="24A31595"/>
    <w:rsid w:val="25001DEB"/>
    <w:rsid w:val="254C6D80"/>
    <w:rsid w:val="25A93D9E"/>
    <w:rsid w:val="25E24A09"/>
    <w:rsid w:val="2788390F"/>
    <w:rsid w:val="280C6FB4"/>
    <w:rsid w:val="298C4FBB"/>
    <w:rsid w:val="29F32A24"/>
    <w:rsid w:val="2A242558"/>
    <w:rsid w:val="2A72732B"/>
    <w:rsid w:val="2B9D71B3"/>
    <w:rsid w:val="2D291A23"/>
    <w:rsid w:val="2E3273A8"/>
    <w:rsid w:val="2E4376F8"/>
    <w:rsid w:val="2E664FC2"/>
    <w:rsid w:val="322E337A"/>
    <w:rsid w:val="33577807"/>
    <w:rsid w:val="35240B6C"/>
    <w:rsid w:val="35AB5B38"/>
    <w:rsid w:val="35B9075A"/>
    <w:rsid w:val="36577749"/>
    <w:rsid w:val="36A124EE"/>
    <w:rsid w:val="36D354D3"/>
    <w:rsid w:val="36EB5296"/>
    <w:rsid w:val="372612F7"/>
    <w:rsid w:val="382C7FC9"/>
    <w:rsid w:val="38690468"/>
    <w:rsid w:val="39A2249E"/>
    <w:rsid w:val="3A4C400F"/>
    <w:rsid w:val="3B5927FB"/>
    <w:rsid w:val="3B8D1060"/>
    <w:rsid w:val="3BCA0FE1"/>
    <w:rsid w:val="3E514443"/>
    <w:rsid w:val="3EAB429D"/>
    <w:rsid w:val="3F0F05F2"/>
    <w:rsid w:val="3F7B3E83"/>
    <w:rsid w:val="3F89065A"/>
    <w:rsid w:val="3FC27CED"/>
    <w:rsid w:val="3FE4241B"/>
    <w:rsid w:val="3FEE77B3"/>
    <w:rsid w:val="402B7972"/>
    <w:rsid w:val="40947D3F"/>
    <w:rsid w:val="420E5949"/>
    <w:rsid w:val="439970A4"/>
    <w:rsid w:val="43A2345E"/>
    <w:rsid w:val="44690D3C"/>
    <w:rsid w:val="460E0D76"/>
    <w:rsid w:val="46533589"/>
    <w:rsid w:val="47DB1200"/>
    <w:rsid w:val="48F95B06"/>
    <w:rsid w:val="4A143CA8"/>
    <w:rsid w:val="4AE45D50"/>
    <w:rsid w:val="4B08479D"/>
    <w:rsid w:val="4BD33ED8"/>
    <w:rsid w:val="4C6041FA"/>
    <w:rsid w:val="4EE20EE3"/>
    <w:rsid w:val="4F6E7654"/>
    <w:rsid w:val="515D051A"/>
    <w:rsid w:val="51920631"/>
    <w:rsid w:val="51F15397"/>
    <w:rsid w:val="54241179"/>
    <w:rsid w:val="55832A89"/>
    <w:rsid w:val="55B83CB5"/>
    <w:rsid w:val="56A267ED"/>
    <w:rsid w:val="5759001E"/>
    <w:rsid w:val="5765293D"/>
    <w:rsid w:val="57C35170"/>
    <w:rsid w:val="58FD484E"/>
    <w:rsid w:val="591F645C"/>
    <w:rsid w:val="592B750B"/>
    <w:rsid w:val="59581242"/>
    <w:rsid w:val="59A569E4"/>
    <w:rsid w:val="5A577F02"/>
    <w:rsid w:val="5AC76996"/>
    <w:rsid w:val="5ACB5C19"/>
    <w:rsid w:val="5B292982"/>
    <w:rsid w:val="5B863E70"/>
    <w:rsid w:val="5BD349C2"/>
    <w:rsid w:val="5CDE46A8"/>
    <w:rsid w:val="5D2D65C7"/>
    <w:rsid w:val="5F2E3D54"/>
    <w:rsid w:val="5F5E7721"/>
    <w:rsid w:val="5F661E00"/>
    <w:rsid w:val="5FA46837"/>
    <w:rsid w:val="619F2EC0"/>
    <w:rsid w:val="623B28E7"/>
    <w:rsid w:val="62866841"/>
    <w:rsid w:val="629E63EE"/>
    <w:rsid w:val="62E8758D"/>
    <w:rsid w:val="63C8589F"/>
    <w:rsid w:val="64FC7C86"/>
    <w:rsid w:val="652E4D9F"/>
    <w:rsid w:val="659053CB"/>
    <w:rsid w:val="65CD55E0"/>
    <w:rsid w:val="6663281D"/>
    <w:rsid w:val="672B3B56"/>
    <w:rsid w:val="67966D45"/>
    <w:rsid w:val="67E60B27"/>
    <w:rsid w:val="69363332"/>
    <w:rsid w:val="6A0844E1"/>
    <w:rsid w:val="6A145F65"/>
    <w:rsid w:val="6AAC191E"/>
    <w:rsid w:val="6AED00A2"/>
    <w:rsid w:val="6BAF38F2"/>
    <w:rsid w:val="6C3B50F3"/>
    <w:rsid w:val="6D1E0F66"/>
    <w:rsid w:val="6D203EF9"/>
    <w:rsid w:val="6E843779"/>
    <w:rsid w:val="6F20134A"/>
    <w:rsid w:val="6F832FC5"/>
    <w:rsid w:val="70164579"/>
    <w:rsid w:val="711D56D8"/>
    <w:rsid w:val="719B5F12"/>
    <w:rsid w:val="719E0ABD"/>
    <w:rsid w:val="71A660E1"/>
    <w:rsid w:val="71F4756C"/>
    <w:rsid w:val="722E5C40"/>
    <w:rsid w:val="7326340D"/>
    <w:rsid w:val="73265AAD"/>
    <w:rsid w:val="73BA682B"/>
    <w:rsid w:val="742E3678"/>
    <w:rsid w:val="74582FB0"/>
    <w:rsid w:val="74B31B0F"/>
    <w:rsid w:val="75653F88"/>
    <w:rsid w:val="75B14F57"/>
    <w:rsid w:val="766B5E77"/>
    <w:rsid w:val="76D62A80"/>
    <w:rsid w:val="76E51ABC"/>
    <w:rsid w:val="78334154"/>
    <w:rsid w:val="794651DE"/>
    <w:rsid w:val="796D553A"/>
    <w:rsid w:val="796E7A40"/>
    <w:rsid w:val="798018AB"/>
    <w:rsid w:val="79DE5590"/>
    <w:rsid w:val="7A182D14"/>
    <w:rsid w:val="7C504DF8"/>
    <w:rsid w:val="7E4E62ED"/>
    <w:rsid w:val="7ECC3A50"/>
    <w:rsid w:val="7F515415"/>
    <w:rsid w:val="7F74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3205</Words>
  <Characters>18269</Characters>
  <Lines>152</Lines>
  <Paragraphs>42</Paragraphs>
  <TotalTime>11</TotalTime>
  <ScaleCrop>false</ScaleCrop>
  <LinksUpToDate>false</LinksUpToDate>
  <CharactersWithSpaces>21432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lenovo</cp:lastModifiedBy>
  <dcterms:modified xsi:type="dcterms:W3CDTF">2021-03-14T05:02:45Z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