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text" w:horzAnchor="page" w:tblpX="1632" w:tblpY="3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2"/>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32" w:type="dxa"/>
            <w:tcBorders>
              <w:top w:val="single" w:color="000000" w:sz="8" w:space="0"/>
              <w:left w:val="single" w:color="000000" w:sz="8" w:space="0"/>
              <w:bottom w:val="single" w:color="000000" w:sz="4" w:space="0"/>
              <w:right w:val="single" w:color="000000" w:sz="4" w:space="0"/>
            </w:tcBorders>
            <w:noWrap/>
            <w:vAlign w:val="center"/>
          </w:tcPr>
          <w:p>
            <w:pPr>
              <w:ind w:firstLine="80"/>
              <w:jc w:val="center"/>
              <w:rPr>
                <w:rFonts w:ascii="黑体" w:eastAsia="黑体"/>
                <w:sz w:val="30"/>
                <w:szCs w:val="30"/>
                <w:u w:val="single"/>
              </w:rPr>
            </w:pPr>
            <w:r>
              <w:rPr>
                <w:rFonts w:hint="eastAsia" w:ascii="黑体" w:eastAsia="黑体"/>
                <w:sz w:val="30"/>
                <w:szCs w:val="30"/>
                <w:u w:color="000000"/>
              </w:rPr>
              <w:t>年度</w:t>
            </w:r>
          </w:p>
        </w:tc>
        <w:tc>
          <w:tcPr>
            <w:tcW w:w="1688" w:type="dxa"/>
            <w:tcBorders>
              <w:top w:val="single" w:color="000000" w:sz="8" w:space="0"/>
              <w:left w:val="single" w:color="auto" w:sz="4" w:space="0"/>
              <w:bottom w:val="single" w:color="000000" w:sz="4" w:space="0"/>
              <w:right w:val="single" w:color="000000" w:sz="8" w:space="0"/>
            </w:tcBorders>
            <w:noWrap/>
            <w:vAlign w:val="center"/>
          </w:tcPr>
          <w:p>
            <w:pPr>
              <w:rPr>
                <w:rFonts w:ascii="黑体" w:eastAsia="黑体"/>
                <w:sz w:val="30"/>
                <w:szCs w:val="30"/>
              </w:rPr>
            </w:pPr>
            <w:r>
              <w:rPr>
                <w:rFonts w:hint="eastAsia" w:ascii="黑体" w:eastAsia="黑体"/>
                <w:sz w:val="30"/>
                <w:szCs w:val="30"/>
              </w:rPr>
              <w:t xml:space="preserve">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2" w:type="dxa"/>
            <w:tcBorders>
              <w:top w:val="single" w:color="auto" w:sz="4" w:space="0"/>
              <w:left w:val="single" w:color="000000" w:sz="8" w:space="0"/>
              <w:bottom w:val="single" w:color="000000" w:sz="8" w:space="0"/>
              <w:right w:val="single" w:color="000000" w:sz="4" w:space="0"/>
            </w:tcBorders>
            <w:noWrap/>
            <w:vAlign w:val="center"/>
          </w:tcPr>
          <w:p>
            <w:pPr>
              <w:ind w:firstLine="94"/>
              <w:jc w:val="center"/>
              <w:rPr>
                <w:rFonts w:ascii="黑体" w:eastAsia="黑体"/>
                <w:sz w:val="30"/>
                <w:szCs w:val="30"/>
                <w:u w:val="single"/>
              </w:rPr>
            </w:pPr>
            <w:r>
              <w:rPr>
                <w:rFonts w:hint="eastAsia" w:ascii="黑体" w:eastAsia="黑体"/>
                <w:sz w:val="30"/>
                <w:szCs w:val="30"/>
                <w:u w:color="000000"/>
              </w:rPr>
              <w:t>编号</w:t>
            </w:r>
          </w:p>
        </w:tc>
        <w:tc>
          <w:tcPr>
            <w:tcW w:w="1688" w:type="dxa"/>
            <w:tcBorders>
              <w:top w:val="single" w:color="auto" w:sz="4" w:space="0"/>
              <w:left w:val="single" w:color="auto" w:sz="4" w:space="0"/>
              <w:bottom w:val="single" w:color="000000" w:sz="8" w:space="0"/>
              <w:right w:val="single" w:color="000000" w:sz="8" w:space="0"/>
            </w:tcBorders>
            <w:noWrap/>
            <w:vAlign w:val="center"/>
          </w:tcPr>
          <w:p>
            <w:pPr>
              <w:ind w:firstLine="140" w:firstLineChars="50"/>
              <w:rPr>
                <w:rFonts w:ascii="黑体" w:eastAsia="黑体"/>
                <w:sz w:val="30"/>
                <w:szCs w:val="30"/>
                <w:u w:val="single"/>
              </w:rPr>
            </w:pPr>
            <w:r>
              <w:rPr>
                <w:rFonts w:ascii="Times New Roman" w:hAnsi="Times New Roman" w:cs="Times New Roman"/>
                <w:bCs/>
                <w:sz w:val="28"/>
                <w:szCs w:val="28"/>
              </w:rPr>
              <w:t>pysk-</w:t>
            </w:r>
            <w:r>
              <w:rPr>
                <w:rFonts w:hint="eastAsia" w:ascii="Times New Roman" w:hAnsi="Times New Roman" w:cs="Times New Roman"/>
                <w:bCs/>
                <w:sz w:val="28"/>
                <w:szCs w:val="28"/>
              </w:rPr>
              <w:t>20344</w:t>
            </w:r>
          </w:p>
        </w:tc>
      </w:tr>
    </w:tbl>
    <w:p>
      <w:pPr>
        <w:snapToGrid w:val="0"/>
        <w:spacing w:line="453" w:lineRule="atLeast"/>
      </w:pPr>
    </w:p>
    <w:p>
      <w:pPr>
        <w:snapToGrid w:val="0"/>
        <w:spacing w:line="453" w:lineRule="atLeast"/>
        <w:ind w:firstLine="623"/>
        <w:textAlignment w:val="baseline"/>
      </w:pPr>
    </w:p>
    <w:p>
      <w:pPr>
        <w:snapToGrid w:val="0"/>
        <w:spacing w:line="453" w:lineRule="atLeast"/>
        <w:textAlignment w:val="baseline"/>
      </w:pPr>
    </w:p>
    <w:p>
      <w:pPr>
        <w:snapToGrid w:val="0"/>
        <w:spacing w:line="453" w:lineRule="atLeast"/>
        <w:textAlignment w:val="baseline"/>
      </w:pPr>
    </w:p>
    <w:p>
      <w:pPr>
        <w:snapToGrid w:val="0"/>
        <w:spacing w:line="453" w:lineRule="atLeast"/>
        <w:ind w:firstLine="623"/>
        <w:textAlignment w:val="baseline"/>
      </w:pPr>
    </w:p>
    <w:p>
      <w:pPr>
        <w:snapToGrid w:val="0"/>
        <w:spacing w:line="453" w:lineRule="atLeast"/>
        <w:textAlignment w:val="baseline"/>
      </w:pPr>
    </w:p>
    <w:p>
      <w:pPr>
        <w:spacing w:line="500" w:lineRule="exact"/>
        <w:ind w:left="5555" w:leftChars="294" w:hanging="4938" w:hangingChars="1118"/>
        <w:jc w:val="center"/>
        <w:rPr>
          <w:rFonts w:ascii="宋体" w:hAnsi="宋体" w:eastAsia="宋体" w:cs="宋体"/>
          <w:b/>
          <w:bCs/>
          <w:sz w:val="44"/>
          <w:szCs w:val="40"/>
        </w:rPr>
      </w:pPr>
      <w:r>
        <w:rPr>
          <w:rFonts w:hint="eastAsia" w:ascii="宋体" w:hAnsi="宋体" w:eastAsia="宋体" w:cs="宋体"/>
          <w:b/>
          <w:bCs/>
          <w:sz w:val="44"/>
          <w:szCs w:val="40"/>
        </w:rPr>
        <w:t>濮阳农村养老模式构建问题研究</w:t>
      </w:r>
    </w:p>
    <w:p>
      <w:pPr>
        <w:tabs>
          <w:tab w:val="left" w:pos="2895"/>
        </w:tabs>
        <w:snapToGrid w:val="0"/>
        <w:spacing w:line="500" w:lineRule="exact"/>
        <w:ind w:firstLine="380"/>
        <w:rPr>
          <w:rFonts w:eastAsia="仿宋_GB2312"/>
          <w:sz w:val="31"/>
        </w:rPr>
      </w:pPr>
    </w:p>
    <w:p>
      <w:pPr>
        <w:tabs>
          <w:tab w:val="left" w:pos="2895"/>
        </w:tabs>
        <w:snapToGrid w:val="0"/>
        <w:spacing w:line="500" w:lineRule="exact"/>
        <w:ind w:firstLine="380"/>
        <w:rPr>
          <w:rFonts w:eastAsia="仿宋_GB2312"/>
          <w:sz w:val="31"/>
        </w:rPr>
      </w:pPr>
    </w:p>
    <w:p>
      <w:pPr>
        <w:tabs>
          <w:tab w:val="left" w:pos="2895"/>
        </w:tabs>
        <w:snapToGrid w:val="0"/>
        <w:spacing w:line="500" w:lineRule="exact"/>
        <w:ind w:firstLine="380"/>
        <w:rPr>
          <w:rFonts w:eastAsia="仿宋_GB2312"/>
          <w:sz w:val="31"/>
        </w:rPr>
      </w:pPr>
    </w:p>
    <w:p>
      <w:pPr>
        <w:spacing w:line="620" w:lineRule="exact"/>
        <w:ind w:firstLine="2233" w:firstLineChars="695"/>
        <w:rPr>
          <w:rFonts w:ascii="黑体" w:eastAsia="黑体"/>
          <w:b/>
          <w:sz w:val="32"/>
          <w:szCs w:val="32"/>
        </w:rPr>
      </w:pPr>
      <w:r>
        <w:rPr>
          <w:rFonts w:hint="eastAsia" w:ascii="黑体" w:eastAsia="黑体"/>
          <w:b/>
          <w:sz w:val="32"/>
          <w:szCs w:val="32"/>
        </w:rPr>
        <w:t>课题主持人：   郭娅娟</w:t>
      </w:r>
    </w:p>
    <w:p>
      <w:pPr>
        <w:ind w:firstLine="2233" w:firstLineChars="695"/>
        <w:rPr>
          <w:rFonts w:ascii="黑体" w:eastAsia="黑体"/>
          <w:b/>
          <w:sz w:val="32"/>
          <w:szCs w:val="32"/>
        </w:rPr>
      </w:pPr>
      <w:r>
        <w:rPr>
          <w:rFonts w:hint="eastAsia" w:ascii="黑体" w:eastAsia="黑体"/>
          <w:b/>
          <w:sz w:val="32"/>
          <w:szCs w:val="32"/>
        </w:rPr>
        <w:t>课题组成员：   金  敏</w:t>
      </w:r>
    </w:p>
    <w:p>
      <w:pPr>
        <w:ind w:firstLine="2233" w:firstLineChars="695"/>
        <w:rPr>
          <w:rFonts w:ascii="黑体" w:eastAsia="黑体"/>
          <w:b/>
          <w:sz w:val="32"/>
          <w:szCs w:val="32"/>
        </w:rPr>
      </w:pPr>
      <w:r>
        <w:rPr>
          <w:rFonts w:hint="eastAsia" w:ascii="黑体" w:eastAsia="黑体"/>
          <w:b/>
          <w:sz w:val="32"/>
          <w:szCs w:val="32"/>
        </w:rPr>
        <w:t xml:space="preserve">               乔艳花</w:t>
      </w:r>
    </w:p>
    <w:p>
      <w:pPr>
        <w:ind w:firstLine="4642" w:firstLineChars="1445"/>
        <w:rPr>
          <w:rFonts w:ascii="黑体" w:eastAsia="黑体"/>
          <w:b/>
          <w:sz w:val="32"/>
          <w:szCs w:val="32"/>
        </w:rPr>
      </w:pPr>
      <w:r>
        <w:rPr>
          <w:rFonts w:hint="eastAsia" w:ascii="黑体" w:eastAsia="黑体"/>
          <w:b/>
          <w:sz w:val="32"/>
          <w:szCs w:val="32"/>
        </w:rPr>
        <w:t>袁志刚</w:t>
      </w:r>
    </w:p>
    <w:p>
      <w:pPr>
        <w:ind w:firstLine="4642" w:firstLineChars="1445"/>
        <w:rPr>
          <w:rFonts w:ascii="黑体" w:eastAsia="黑体"/>
          <w:b/>
          <w:sz w:val="32"/>
          <w:szCs w:val="32"/>
        </w:rPr>
      </w:pPr>
    </w:p>
    <w:p>
      <w:pPr>
        <w:ind w:firstLine="4642" w:firstLineChars="1445"/>
        <w:rPr>
          <w:rFonts w:ascii="黑体" w:eastAsia="黑体"/>
          <w:b/>
          <w:sz w:val="32"/>
          <w:szCs w:val="32"/>
        </w:rPr>
      </w:pPr>
    </w:p>
    <w:p>
      <w:pPr>
        <w:ind w:firstLine="4642" w:firstLineChars="1445"/>
        <w:rPr>
          <w:rFonts w:ascii="黑体" w:eastAsia="黑体"/>
          <w:b/>
          <w:sz w:val="32"/>
          <w:szCs w:val="32"/>
        </w:rPr>
      </w:pPr>
    </w:p>
    <w:p>
      <w:pPr>
        <w:spacing w:line="620" w:lineRule="exact"/>
        <w:ind w:firstLine="2233" w:firstLineChars="695"/>
        <w:rPr>
          <w:rFonts w:ascii="黑体" w:eastAsia="黑体"/>
          <w:b/>
          <w:sz w:val="32"/>
          <w:szCs w:val="32"/>
        </w:rPr>
      </w:pPr>
      <w:r>
        <w:rPr>
          <w:rFonts w:hint="eastAsia" w:ascii="黑体" w:eastAsia="黑体"/>
          <w:b/>
          <w:sz w:val="32"/>
          <w:szCs w:val="32"/>
        </w:rPr>
        <w:t>主持人电话： 13803936376</w:t>
      </w:r>
    </w:p>
    <w:p>
      <w:pPr>
        <w:spacing w:line="620" w:lineRule="exact"/>
        <w:ind w:firstLine="2233" w:firstLineChars="695"/>
        <w:rPr>
          <w:rFonts w:ascii="黑体" w:eastAsia="黑体"/>
          <w:b/>
          <w:sz w:val="32"/>
          <w:szCs w:val="32"/>
        </w:rPr>
      </w:pPr>
      <w:r>
        <w:rPr>
          <w:rFonts w:hint="eastAsia" w:ascii="黑体" w:eastAsia="黑体"/>
          <w:b/>
          <w:sz w:val="32"/>
          <w:szCs w:val="32"/>
        </w:rPr>
        <w:t>主持人邮编：   457000</w:t>
      </w:r>
    </w:p>
    <w:p>
      <w:pPr>
        <w:ind w:firstLine="2233" w:firstLineChars="695"/>
        <w:rPr>
          <w:rFonts w:ascii="黑体" w:eastAsia="黑体"/>
          <w:b/>
          <w:sz w:val="32"/>
          <w:szCs w:val="32"/>
        </w:rPr>
      </w:pPr>
      <w:r>
        <w:rPr>
          <w:rFonts w:hint="eastAsia" w:ascii="黑体" w:eastAsia="黑体"/>
          <w:b/>
          <w:sz w:val="32"/>
          <w:szCs w:val="32"/>
        </w:rPr>
        <w:t xml:space="preserve">主持人单位：濮阳职业技术学院  </w:t>
      </w:r>
    </w:p>
    <w:p>
      <w:pPr>
        <w:jc w:val="center"/>
        <w:rPr>
          <w:rFonts w:ascii="黑体" w:hAnsi="宋体" w:eastAsia="黑体"/>
          <w:b/>
          <w:sz w:val="32"/>
          <w:szCs w:val="32"/>
        </w:rPr>
      </w:pPr>
    </w:p>
    <w:p>
      <w:pPr>
        <w:jc w:val="center"/>
        <w:rPr>
          <w:rFonts w:ascii="宋体" w:hAnsi="宋体"/>
          <w:b/>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440" w:right="1644" w:bottom="1440" w:left="1644" w:header="851" w:footer="992" w:gutter="0"/>
          <w:cols w:space="720" w:num="1"/>
          <w:titlePg/>
          <w:docGrid w:type="lines" w:linePitch="312" w:charSpace="0"/>
        </w:sectPr>
      </w:pPr>
      <w:r>
        <w:rPr>
          <w:rFonts w:hint="eastAsia" w:ascii="黑体" w:eastAsia="黑体"/>
          <w:b/>
          <w:sz w:val="32"/>
          <w:szCs w:val="32"/>
        </w:rPr>
        <w:t xml:space="preserve">  2020年11月</w:t>
      </w:r>
    </w:p>
    <w:p>
      <w:pPr>
        <w:spacing w:line="500" w:lineRule="exact"/>
        <w:ind w:left="3984" w:leftChars="294" w:hanging="3367" w:hangingChars="1118"/>
        <w:jc w:val="center"/>
        <w:rPr>
          <w:rFonts w:ascii="宋体" w:hAnsi="宋体" w:eastAsia="宋体" w:cs="宋体"/>
          <w:b/>
          <w:bCs/>
          <w:sz w:val="30"/>
          <w:szCs w:val="30"/>
        </w:rPr>
      </w:pPr>
      <w:r>
        <w:rPr>
          <w:rFonts w:hint="eastAsia" w:ascii="宋体" w:hAnsi="宋体" w:eastAsia="宋体" w:cs="宋体"/>
          <w:b/>
          <w:bCs/>
          <w:sz w:val="30"/>
          <w:szCs w:val="30"/>
        </w:rPr>
        <w:t>濮阳农村养老模式构建问题研究</w:t>
      </w:r>
    </w:p>
    <w:p>
      <w:pPr>
        <w:rPr>
          <w:rFonts w:ascii="宋体" w:hAnsi="宋体" w:cs="宋体"/>
          <w:b/>
          <w:bCs/>
          <w:sz w:val="32"/>
          <w:szCs w:val="32"/>
        </w:rPr>
      </w:pPr>
    </w:p>
    <w:p>
      <w:pP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一</w:t>
      </w:r>
      <w:r>
        <w:rPr>
          <w:rFonts w:hint="eastAsia" w:asciiTheme="minorEastAsia" w:hAnsiTheme="minorEastAsia" w:eastAsiaTheme="minorEastAsia" w:cstheme="minorEastAsia"/>
          <w:b/>
          <w:sz w:val="28"/>
          <w:szCs w:val="28"/>
        </w:rPr>
        <w:t>、濮阳市农村养老现状的调查及分析</w:t>
      </w:r>
    </w:p>
    <w:p>
      <w:pPr>
        <w:ind w:firstLine="420" w:firstLineChars="15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本次调研选取了濮阳市Y乡的两个村，发放问卷100分，收回的有效问卷80份，设计的调研问卷主要包括老人的基本情况、家庭结构、经济状况、生活状况、医疗护理现状和精神慰藉几个方面（调研问卷见附录）</w:t>
      </w:r>
      <w:r>
        <w:rPr>
          <w:rFonts w:hint="eastAsia" w:asciiTheme="minorEastAsia" w:hAnsiTheme="minorEastAsia" w:eastAsiaTheme="minorEastAsia" w:cstheme="minorEastAsia"/>
          <w:sz w:val="28"/>
          <w:szCs w:val="28"/>
          <w:lang w:eastAsia="zh-CN"/>
        </w:rPr>
        <w:t>。</w:t>
      </w:r>
    </w:p>
    <w:p>
      <w:pPr>
        <w:ind w:firstLine="422" w:firstLineChars="15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（一）经济支持状况</w:t>
      </w:r>
    </w:p>
    <w:p>
      <w:pPr>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本课题试从新型农村养老保险、土地保障和子女补给等三个方面来挖掘农村老年人的经济供给能力，同时借助统计软件对相关变量进行描述性分析。</w:t>
      </w:r>
    </w:p>
    <w:p>
      <w:pPr>
        <w:ind w:firstLine="1546" w:firstLineChars="55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表1 老年人主要收入来源统计表</w:t>
      </w:r>
    </w:p>
    <w:p>
      <w:pP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drawing>
          <wp:inline distT="0" distB="0" distL="0" distR="0">
            <wp:extent cx="5482590" cy="1280160"/>
            <wp:effectExtent l="1905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srcRect/>
                    <a:stretch>
                      <a:fillRect/>
                    </a:stretch>
                  </pic:blipFill>
                  <pic:spPr>
                    <a:xfrm>
                      <a:off x="0" y="0"/>
                      <a:ext cx="5482590" cy="1280160"/>
                    </a:xfrm>
                    <a:prstGeom prst="rect">
                      <a:avLst/>
                    </a:prstGeom>
                    <a:noFill/>
                    <a:ln w="9525">
                      <a:noFill/>
                      <a:miter lim="800000"/>
                      <a:headEnd/>
                      <a:tailEnd/>
                    </a:ln>
                  </pic:spPr>
                </pic:pic>
              </a:graphicData>
            </a:graphic>
          </wp:inline>
        </w:drawing>
      </w:r>
    </w:p>
    <w:p>
      <w:pPr>
        <w:ind w:firstLine="1405" w:firstLineChars="5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表2  老年人收入各变量描述统计表</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486400" cy="170688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srcRect/>
                    <a:stretch>
                      <a:fillRect/>
                    </a:stretch>
                  </pic:blipFill>
                  <pic:spPr>
                    <a:xfrm>
                      <a:off x="0" y="0"/>
                      <a:ext cx="5503420" cy="1712175"/>
                    </a:xfrm>
                    <a:prstGeom prst="rect">
                      <a:avLst/>
                    </a:prstGeom>
                    <a:noFill/>
                    <a:ln w="9525">
                      <a:noFill/>
                      <a:miter lim="800000"/>
                      <a:headEnd/>
                      <a:tailEnd/>
                    </a:ln>
                  </pic:spPr>
                </pic:pic>
              </a:graphicData>
            </a:graphic>
          </wp:inline>
        </w:drawing>
      </w:r>
    </w:p>
    <w:p>
      <w:pPr>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1、养老保险：养老金是救命稻草</w:t>
      </w:r>
    </w:p>
    <w:p>
      <w:pPr>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结合本次调査数据来看，受访老年人中五成比重的老年人收入最主要来源于养老保险，显而易见，新农保已经成为农村老年人最普遍、最主要的收入来源。在新农保的背景下，农村老年人的生活境况明显提高，无论是从物质支持上，还是从精神慰藉上都大为改善。</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2、土地保障：活到老，种到老</w:t>
      </w:r>
    </w:p>
    <w:p>
      <w:pPr>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从对老年人收入来源的调査看（见表1），32.5%的受访老年人最主要的收入来源是本人配偶的劳动收入，这项收入成为仅次于养老金的第二大收入来源。从对劳动收入的描述性分析看（见表2），最小值为0元，最大值为5000元，均值是588.75元，基本上可以印证老人们的话语，</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3、子女补给：孝心与实力的体现</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对收入来源的描述性分析显示，经济支持最主要依靠子女贴补的占16.35%，其比重远低于养老保险和劳动收入所占的比重。结合对子女补给的频数分析来看（见表2），最小值为0元，最大值为15000元，均值是665.63元，较高于养老保险和劳动收入的均值。</w:t>
      </w:r>
      <w:r>
        <w:rPr>
          <w:rFonts w:hint="eastAsia" w:asciiTheme="minorEastAsia" w:hAnsiTheme="minorEastAsia" w:eastAsiaTheme="minorEastAsia" w:cstheme="minorEastAsia"/>
          <w:sz w:val="28"/>
          <w:szCs w:val="28"/>
        </w:rPr>
        <w:drawing>
          <wp:inline distT="0" distB="0" distL="0" distR="0">
            <wp:extent cx="5487670" cy="2301240"/>
            <wp:effectExtent l="0" t="0" r="139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srcRect/>
                    <a:stretch>
                      <a:fillRect/>
                    </a:stretch>
                  </pic:blipFill>
                  <pic:spPr>
                    <a:xfrm>
                      <a:off x="0" y="0"/>
                      <a:ext cx="5487696" cy="2301240"/>
                    </a:xfrm>
                    <a:prstGeom prst="rect">
                      <a:avLst/>
                    </a:prstGeom>
                    <a:noFill/>
                    <a:ln w="9525">
                      <a:noFill/>
                      <a:miter lim="800000"/>
                      <a:headEnd/>
                      <a:tailEnd/>
                    </a:ln>
                  </pic:spPr>
                </pic:pic>
              </a:graphicData>
            </a:graphic>
          </wp:inline>
        </w:drawing>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总体上看（见图1、图2），农村老年人消费支出主要集中在日常生活开支上，其次是医疗健康方面的开销，其他业余休闲等方面的支出非常之少。这反映出，农村老人对经济支持的需求与供给之间仍存在较大的现实缺口。</w:t>
      </w:r>
    </w:p>
    <w:p>
      <w:pPr>
        <w:ind w:firstLine="281" w:firstLineChars="1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（二）生活照顾状况</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本文将结合个案村庄的调査数据及访谈资料，具体从需求意愿和供给主体</w:t>
      </w:r>
      <w:r>
        <w:rPr>
          <w:rFonts w:hint="eastAsia" w:asciiTheme="minorEastAsia" w:hAnsiTheme="minorEastAsia" w:eastAsiaTheme="minorEastAsia" w:cstheme="minorEastAsia"/>
          <w:sz w:val="28"/>
          <w:szCs w:val="28"/>
          <w:lang w:val="en-US" w:eastAsia="zh-CN"/>
        </w:rPr>
        <w:t>两</w:t>
      </w:r>
      <w:r>
        <w:rPr>
          <w:rFonts w:hint="eastAsia" w:asciiTheme="minorEastAsia" w:hAnsiTheme="minorEastAsia" w:eastAsiaTheme="minorEastAsia" w:cstheme="minorEastAsia"/>
          <w:sz w:val="28"/>
          <w:szCs w:val="28"/>
        </w:rPr>
        <w:t>方面给予分析。</w:t>
      </w:r>
    </w:p>
    <w:p>
      <w:pPr>
        <w:ind w:firstLine="843" w:firstLineChars="3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w:t>
      </w:r>
      <w:r>
        <w:rPr>
          <w:rFonts w:hint="eastAsia" w:asciiTheme="minorEastAsia" w:hAnsiTheme="minorEastAsia" w:eastAsiaTheme="minorEastAsia" w:cstheme="minorEastAsia"/>
          <w:b/>
          <w:sz w:val="28"/>
          <w:szCs w:val="28"/>
          <w:lang w:val="en-US" w:eastAsia="zh-CN"/>
        </w:rPr>
        <w:t>3</w:t>
      </w:r>
      <w:r>
        <w:rPr>
          <w:rFonts w:hint="eastAsia" w:asciiTheme="minorEastAsia" w:hAnsiTheme="minorEastAsia" w:eastAsiaTheme="minorEastAsia" w:cstheme="minorEastAsia"/>
          <w:b/>
          <w:sz w:val="28"/>
          <w:szCs w:val="28"/>
        </w:rPr>
        <w:t xml:space="preserve">  农村老年人身体状况与生活照顾需求交叉统计表</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1889760"/>
            <wp:effectExtent l="0" t="0" r="139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srcRect/>
                    <a:stretch>
                      <a:fillRect/>
                    </a:stretch>
                  </pic:blipFill>
                  <pic:spPr>
                    <a:xfrm>
                      <a:off x="0" y="0"/>
                      <a:ext cx="5274310" cy="1889760"/>
                    </a:xfrm>
                    <a:prstGeom prst="rect">
                      <a:avLst/>
                    </a:prstGeom>
                    <a:noFill/>
                    <a:ln w="9525">
                      <a:noFill/>
                      <a:miter lim="800000"/>
                      <a:headEnd/>
                      <a:tailEnd/>
                    </a:ln>
                  </pic:spPr>
                </pic:pic>
              </a:graphicData>
            </a:graphic>
          </wp:inline>
        </w:drawing>
      </w:r>
    </w:p>
    <w:p>
      <w:pPr>
        <w:tabs>
          <w:tab w:val="left" w:pos="1242"/>
        </w:tabs>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b/>
          <w:sz w:val="28"/>
          <w:szCs w:val="28"/>
        </w:rPr>
        <w:t>表</w:t>
      </w:r>
      <w:r>
        <w:rPr>
          <w:rFonts w:hint="eastAsia" w:asciiTheme="minorEastAsia" w:hAnsiTheme="minorEastAsia" w:eastAsiaTheme="minorEastAsia" w:cstheme="minorEastAsia"/>
          <w:b/>
          <w:sz w:val="28"/>
          <w:szCs w:val="28"/>
          <w:lang w:val="en-US" w:eastAsia="zh-CN"/>
        </w:rPr>
        <w:t>4</w:t>
      </w:r>
      <w:r>
        <w:rPr>
          <w:rFonts w:hint="eastAsia" w:asciiTheme="minorEastAsia" w:hAnsiTheme="minorEastAsia" w:eastAsiaTheme="minorEastAsia" w:cstheme="minorEastAsia"/>
          <w:b/>
          <w:sz w:val="28"/>
          <w:szCs w:val="28"/>
        </w:rPr>
        <w:t xml:space="preserve">  农村老年人生活照顾供给主体统计表</w:t>
      </w:r>
    </w:p>
    <w:p>
      <w:pPr>
        <w:tabs>
          <w:tab w:val="left" w:pos="1242"/>
        </w:tabs>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drawing>
          <wp:inline distT="0" distB="0" distL="0" distR="0">
            <wp:extent cx="5251450" cy="1067435"/>
            <wp:effectExtent l="0" t="0" r="635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srcRect/>
                    <a:stretch>
                      <a:fillRect/>
                    </a:stretch>
                  </pic:blipFill>
                  <pic:spPr>
                    <a:xfrm>
                      <a:off x="0" y="0"/>
                      <a:ext cx="5274310" cy="1067435"/>
                    </a:xfrm>
                    <a:prstGeom prst="rect">
                      <a:avLst/>
                    </a:prstGeom>
                    <a:noFill/>
                    <a:ln w="9525">
                      <a:noFill/>
                      <a:miter lim="800000"/>
                      <a:headEnd/>
                      <a:tailEnd/>
                    </a:ln>
                  </pic:spPr>
                </pic:pic>
              </a:graphicData>
            </a:graphic>
          </wp:inline>
        </w:drawing>
      </w:r>
    </w:p>
    <w:p>
      <w:pPr>
        <w:tabs>
          <w:tab w:val="left" w:pos="1242"/>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1、生活照顾的需求意愿</w:t>
      </w:r>
    </w:p>
    <w:p>
      <w:pPr>
        <w:tabs>
          <w:tab w:val="left" w:pos="1242"/>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调查显示，老年人的身体健康状况的好坏和生活自理能力的程度对生活照顾的需求意愿产生直接影响。从对身体健康状况与生活照顾需求的交叉分析显示（见表</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卡方检验的概率值为0，远小于5%的显著性水平，表明两者之间存在显著性差异。身体条件较差很差、一般、较好、很好的老人需要生活照顾所占比重依次为95.6%、84.2%、18.4%，可见健康状况与生活照顾需求呈现明显的负相关关系。</w:t>
      </w:r>
    </w:p>
    <w:p>
      <w:pPr>
        <w:tabs>
          <w:tab w:val="left" w:pos="1242"/>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、生活照顾的供给主体</w:t>
      </w:r>
    </w:p>
    <w:p>
      <w:pPr>
        <w:tabs>
          <w:tab w:val="left" w:pos="1242"/>
        </w:tabs>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结合本次调查结果来看（见表</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），42.2%的受访老人依靠老伴照顾；26.7%的受访老人由子女照顾，另有31.1%的受访老人处于无人照顾的境况。</w:t>
      </w:r>
    </w:p>
    <w:p>
      <w:pPr>
        <w:tabs>
          <w:tab w:val="left" w:pos="1242"/>
        </w:tabs>
        <w:ind w:firstLine="422" w:firstLineChars="15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（三）精神慰藉状况</w:t>
      </w:r>
    </w:p>
    <w:p>
      <w:pPr>
        <w:tabs>
          <w:tab w:val="left" w:pos="1242"/>
        </w:tabs>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结合调研个案村庄，本课题拟从家庭和村庄两个层面对农村老年人精神慰藉的需求满足现状进行分析。</w:t>
      </w:r>
    </w:p>
    <w:p>
      <w:pPr>
        <w:tabs>
          <w:tab w:val="left" w:pos="1242"/>
        </w:tabs>
        <w:ind w:firstLine="422"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drawing>
          <wp:inline distT="0" distB="0" distL="0" distR="0">
            <wp:extent cx="5353050" cy="2661285"/>
            <wp:effectExtent l="0" t="0" r="1143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6"/>
                    <a:srcRect/>
                    <a:stretch>
                      <a:fillRect/>
                    </a:stretch>
                  </pic:blipFill>
                  <pic:spPr>
                    <a:xfrm>
                      <a:off x="0" y="0"/>
                      <a:ext cx="5353050" cy="2661285"/>
                    </a:xfrm>
                    <a:prstGeom prst="rect">
                      <a:avLst/>
                    </a:prstGeom>
                    <a:noFill/>
                    <a:ln w="9525">
                      <a:noFill/>
                      <a:miter lim="800000"/>
                      <a:headEnd/>
                      <a:tailEnd/>
                    </a:ln>
                  </pic:spPr>
                </pic:pic>
              </a:graphicData>
            </a:graphic>
          </wp:inline>
        </w:drawing>
      </w:r>
    </w:p>
    <w:p>
      <w:pPr>
        <w:tabs>
          <w:tab w:val="left" w:pos="1242"/>
        </w:tabs>
        <w:ind w:firstLine="1405" w:firstLineChars="5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w:t>
      </w:r>
      <w:r>
        <w:rPr>
          <w:rFonts w:hint="eastAsia" w:asciiTheme="minorEastAsia" w:hAnsiTheme="minorEastAsia" w:eastAsiaTheme="minorEastAsia" w:cstheme="minorEastAsia"/>
          <w:b/>
          <w:sz w:val="28"/>
          <w:szCs w:val="28"/>
          <w:lang w:val="en-US" w:eastAsia="zh-CN"/>
        </w:rPr>
        <w:t>5</w:t>
      </w:r>
      <w:r>
        <w:rPr>
          <w:rFonts w:hint="eastAsia" w:asciiTheme="minorEastAsia" w:hAnsiTheme="minorEastAsia" w:eastAsiaTheme="minorEastAsia" w:cstheme="minorEastAsia"/>
          <w:b/>
          <w:sz w:val="28"/>
          <w:szCs w:val="28"/>
        </w:rPr>
        <w:t xml:space="preserve">  农村老年人是否与子女居住原因统计表</w:t>
      </w:r>
      <w:bookmarkStart w:id="0" w:name="_GoBack"/>
      <w:bookmarkEnd w:id="0"/>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2294255"/>
            <wp:effectExtent l="0" t="0" r="1397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a:srcRect/>
                    <a:stretch>
                      <a:fillRect/>
                    </a:stretch>
                  </pic:blipFill>
                  <pic:spPr>
                    <a:xfrm>
                      <a:off x="0" y="0"/>
                      <a:ext cx="5274310" cy="2294255"/>
                    </a:xfrm>
                    <a:prstGeom prst="rect">
                      <a:avLst/>
                    </a:prstGeom>
                    <a:noFill/>
                    <a:ln w="9525">
                      <a:noFill/>
                      <a:miter lim="800000"/>
                      <a:headEnd/>
                      <a:tailEnd/>
                    </a:ln>
                  </pic:spPr>
                </pic:pic>
              </a:graphicData>
            </a:graphic>
          </wp:inline>
        </w:drawing>
      </w:r>
    </w:p>
    <w:p>
      <w:pPr>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1、家庭层面的精神慰藉</w:t>
      </w:r>
    </w:p>
    <w:p>
      <w:pPr>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家庭层面的精神慰藉大致可以从“是否与子女居住”与“子女孝顺程度”两个变量来考察。“是否与子女居住”的“居住原因”分析结果显示（见表</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受访对象中，“选择与子女一起居住”的达42.5%，其中仅有17.6%的老人因为精神寄托而选择与子女共同居住；32.4%的老人是因为身体不好，需要子女照顾；41.2%的老人则是由于要照顾子女及其家人而一起居住。从统计数据来看（见图3），农村老年人对“子女孝顺程度”的心理感受和评价由高至低呈现倒型趋势。可见传统孝道式微侵蚀了子女对老人的精神慰藉。</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2、村庄层面的精神慰藉</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在村中走访过程中，许多老人反映平时交往的主要对象就是村中其他的同龄人，大家闲时聚在一起聊家常、打牌下棋，以此来排解生活中的空闲时间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村庄的养老设施较贫乏，设在村里的一家镇级福利院也很少开展活动，院里收拾的十分干净，老人们呆呆地坐在通道边、门槛前，言语极少，精神状态堪忧。</w:t>
      </w:r>
    </w:p>
    <w:p>
      <w:pPr>
        <w:ind w:firstLine="420" w:firstLineChars="150"/>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lang w:val="en-US" w:eastAsia="zh-CN"/>
        </w:rPr>
        <w:t>二</w:t>
      </w:r>
      <w:r>
        <w:rPr>
          <w:rFonts w:hint="eastAsia" w:asciiTheme="minorEastAsia" w:hAnsiTheme="minorEastAsia" w:eastAsiaTheme="minorEastAsia" w:cstheme="minorEastAsia"/>
          <w:b/>
          <w:sz w:val="28"/>
          <w:szCs w:val="28"/>
        </w:rPr>
        <w:t>、濮阳市农村养老中存在的问题</w:t>
      </w:r>
      <w:r>
        <w:rPr>
          <w:rFonts w:hint="eastAsia" w:asciiTheme="minorEastAsia" w:hAnsiTheme="minorEastAsia" w:eastAsiaTheme="minorEastAsia" w:cstheme="minorEastAsia"/>
          <w:b/>
          <w:sz w:val="28"/>
          <w:szCs w:val="28"/>
          <w:lang w:val="en-US" w:eastAsia="zh-CN"/>
        </w:rPr>
        <w:t>分析</w:t>
      </w:r>
    </w:p>
    <w:p>
      <w:pPr>
        <w:ind w:firstLine="420" w:firstLineChars="15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基于农村养老现状调查的数据分析，可归纳出濮阳市农村养老中存在的问题，集中体现为经济供养不足、生活照料不够及精神慰藉缺乏这三个层面</w:t>
      </w:r>
      <w:r>
        <w:rPr>
          <w:rFonts w:hint="eastAsia" w:asciiTheme="minorEastAsia" w:hAnsiTheme="minorEastAsia" w:eastAsiaTheme="minorEastAsia" w:cstheme="minorEastAsia"/>
          <w:sz w:val="28"/>
          <w:szCs w:val="28"/>
          <w:lang w:eastAsia="zh-CN"/>
        </w:rPr>
        <w:t>。</w:t>
      </w:r>
    </w:p>
    <w:p>
      <w:pPr>
        <w:ind w:firstLine="281" w:firstLineChars="1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（一）经济供养不足</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1、家庭经济支持弱化 </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“积谷防饥，养儿防老”是中国传统社会流传千年的养老观念。</w:t>
      </w:r>
      <w:r>
        <w:rPr>
          <w:rFonts w:hint="eastAsia" w:asciiTheme="minorEastAsia" w:hAnsiTheme="minorEastAsia" w:eastAsiaTheme="minorEastAsia" w:cstheme="minorEastAsia"/>
          <w:sz w:val="28"/>
          <w:szCs w:val="28"/>
          <w:lang w:val="en-US" w:eastAsia="zh-CN"/>
        </w:rPr>
        <w:t>但</w:t>
      </w:r>
      <w:r>
        <w:rPr>
          <w:rFonts w:hint="eastAsia" w:asciiTheme="minorEastAsia" w:hAnsiTheme="minorEastAsia" w:eastAsiaTheme="minorEastAsia" w:cstheme="minorEastAsia"/>
          <w:sz w:val="28"/>
          <w:szCs w:val="28"/>
        </w:rPr>
        <w:t xml:space="preserve">在调研中发现这种传统养儿防老体系已近乎崩溃，农村地区“不孝”、“不养”的现象逐渐增多。 </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同时老人</w:t>
      </w:r>
      <w:r>
        <w:rPr>
          <w:rFonts w:hint="eastAsia" w:asciiTheme="minorEastAsia" w:hAnsiTheme="minorEastAsia" w:eastAsiaTheme="minorEastAsia" w:cstheme="minorEastAsia"/>
          <w:sz w:val="28"/>
          <w:szCs w:val="28"/>
        </w:rPr>
        <w:t>经济自养主要依靠自身劳动，收入水平低，没有养老储蓄</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经济自养能力不足。</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2、社会养老保障体系不完善 </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目前我国社会养老保障体系不健全，政府对农村老年人的经济支持较少，难以保障老年人的基本生活。基础养老金不足以保障老年人的基本生活，保障力度有限。社会救助与社会福利项目覆盖面窄、保障水平低，并未充分发挥解决老年人生活贫困、保障其基本日常生活的作用。</w:t>
      </w:r>
    </w:p>
    <w:p>
      <w:pPr>
        <w:ind w:firstLine="281" w:firstLineChars="1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（二）生活照料不够</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1、家庭生活照料不足 </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子女外迁对老年人的生活照料和情感支持的减少，影响其健康福利。子女进城后与“留守父母”的联系日益松散，居住距离的拉大限制对其进行生活照料，对老年父母的日常生活照顾近乎空白。子女照料的缺位以及沉重的劳动负担等严重影响其生活质量。</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2、社会化养老服务机构短缺 </w:t>
      </w:r>
    </w:p>
    <w:p>
      <w:pPr>
        <w:tabs>
          <w:tab w:val="left" w:pos="606"/>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仅有的</w:t>
      </w:r>
      <w:r>
        <w:rPr>
          <w:rFonts w:hint="eastAsia" w:asciiTheme="minorEastAsia" w:hAnsiTheme="minorEastAsia" w:eastAsiaTheme="minorEastAsia" w:cstheme="minorEastAsia"/>
          <w:sz w:val="28"/>
          <w:szCs w:val="28"/>
        </w:rPr>
        <w:t xml:space="preserve">敬老院门槛相对较高，仅对五保户开放，有子女的老人则不能入住，且敬老院基础生活设施不完善，缺乏专业护工人员照料老年人的日常生活，未发挥实质性作用。在为老年人提供生护照料服务这一问题上，社区及政府存在严重缺位的情况。 </w:t>
      </w:r>
    </w:p>
    <w:p>
      <w:pPr>
        <w:tabs>
          <w:tab w:val="left" w:pos="606"/>
        </w:tabs>
        <w:ind w:firstLine="422" w:firstLineChars="15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（三）精神慰藉的缺乏</w:t>
      </w:r>
    </w:p>
    <w:p>
      <w:pPr>
        <w:tabs>
          <w:tab w:val="left" w:pos="606"/>
        </w:tabs>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1、家庭精神养老支持力削弱 </w:t>
      </w:r>
    </w:p>
    <w:p>
      <w:pPr>
        <w:tabs>
          <w:tab w:val="left" w:pos="606"/>
        </w:tabs>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绝大多数子女更多注重物质层面的支持、赡养，常常忽视老人的情感支持与精神需求</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同时</w:t>
      </w:r>
      <w:r>
        <w:rPr>
          <w:rFonts w:hint="eastAsia" w:asciiTheme="minorEastAsia" w:hAnsiTheme="minorEastAsia" w:eastAsiaTheme="minorEastAsia" w:cstheme="minorEastAsia"/>
          <w:sz w:val="28"/>
          <w:szCs w:val="28"/>
        </w:rPr>
        <w:t>公共文化活动</w:t>
      </w:r>
      <w:r>
        <w:rPr>
          <w:rFonts w:hint="eastAsia" w:asciiTheme="minorEastAsia" w:hAnsiTheme="minorEastAsia" w:eastAsiaTheme="minorEastAsia" w:cstheme="minorEastAsia"/>
          <w:sz w:val="28"/>
          <w:szCs w:val="28"/>
          <w:lang w:val="en-US" w:eastAsia="zh-CN"/>
        </w:rPr>
        <w:t>的缺乏，</w:t>
      </w:r>
      <w:r>
        <w:rPr>
          <w:rFonts w:hint="eastAsia" w:asciiTheme="minorEastAsia" w:hAnsiTheme="minorEastAsia" w:eastAsiaTheme="minorEastAsia" w:cstheme="minorEastAsia"/>
          <w:sz w:val="28"/>
          <w:szCs w:val="28"/>
        </w:rPr>
        <w:t>老年人文化程度低导致</w:t>
      </w:r>
      <w:r>
        <w:rPr>
          <w:rFonts w:hint="eastAsia" w:asciiTheme="minorEastAsia" w:hAnsiTheme="minorEastAsia" w:eastAsiaTheme="minorEastAsia" w:cstheme="minorEastAsia"/>
          <w:sz w:val="28"/>
          <w:szCs w:val="28"/>
          <w:lang w:val="en-US" w:eastAsia="zh-CN"/>
        </w:rPr>
        <w:t>的</w:t>
      </w:r>
      <w:r>
        <w:rPr>
          <w:rFonts w:hint="eastAsia" w:asciiTheme="minorEastAsia" w:hAnsiTheme="minorEastAsia" w:eastAsiaTheme="minorEastAsia" w:cstheme="minorEastAsia"/>
          <w:sz w:val="28"/>
          <w:szCs w:val="28"/>
        </w:rPr>
        <w:t>休闲娱乐方式单调、</w:t>
      </w:r>
      <w:r>
        <w:rPr>
          <w:rFonts w:hint="eastAsia" w:asciiTheme="minorEastAsia" w:hAnsiTheme="minorEastAsia" w:eastAsiaTheme="minorEastAsia" w:cstheme="minorEastAsia"/>
          <w:sz w:val="28"/>
          <w:szCs w:val="28"/>
          <w:lang w:val="en-US" w:eastAsia="zh-CN"/>
        </w:rPr>
        <w:t>老人自养能力不足，</w:t>
      </w:r>
      <w:r>
        <w:rPr>
          <w:rFonts w:hint="eastAsia" w:asciiTheme="minorEastAsia" w:hAnsiTheme="minorEastAsia" w:eastAsiaTheme="minorEastAsia" w:cstheme="minorEastAsia"/>
          <w:sz w:val="28"/>
          <w:szCs w:val="28"/>
        </w:rPr>
        <w:t>严重影响其精神生活丰富度。</w:t>
      </w:r>
    </w:p>
    <w:p>
      <w:pPr>
        <w:tabs>
          <w:tab w:val="left" w:pos="606"/>
        </w:tabs>
        <w:ind w:firstLine="6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2、农村精神养老服务供给不足 </w:t>
      </w:r>
    </w:p>
    <w:p>
      <w:pPr>
        <w:tabs>
          <w:tab w:val="left" w:pos="606"/>
        </w:tabs>
        <w:ind w:firstLine="6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大部分农村地区的精神文化建设一直滞后于经济层面的发展，老年人的精神养老主要依赖于自济。此外，现存法律关于精神赡养层面的规定仅是原则性规定，造成司法实践中缺乏可操作性，导致法律对赡养行为的约束和惩戒力度不足。</w:t>
      </w:r>
    </w:p>
    <w:p>
      <w:pP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三</w:t>
      </w:r>
      <w:r>
        <w:rPr>
          <w:rFonts w:hint="eastAsia" w:asciiTheme="minorEastAsia" w:hAnsiTheme="minorEastAsia" w:eastAsiaTheme="minorEastAsia" w:cstheme="minorEastAsia"/>
          <w:b/>
          <w:sz w:val="28"/>
          <w:szCs w:val="28"/>
        </w:rPr>
        <w:t>、构建农村养老保障模式的策略选择</w:t>
      </w:r>
    </w:p>
    <w:p>
      <w:pPr>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针对濮阳市农村养老中的问题总结与成因剖析，本课题组分别从政府、社会、个人三个层面给出对策建议。</w:t>
      </w:r>
    </w:p>
    <w:p>
      <w:pPr>
        <w:ind w:left="300" w:leftChars="143" w:firstLine="138" w:firstLineChars="4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（一）政府层面</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1、完善农村养老保障经济支持体系</w:t>
      </w:r>
    </w:p>
    <w:p>
      <w:pPr>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充足的资金保障对农村养老起着至关重要的作用，甚至在一定程度上会影响到老人的生活照料和精神状态。目前濮阳市农村地区的基础养老金人为 60元/月，还无法满足老人的基本生活需要，但支付高额的养老金又将造成政府巨大的财政压力，因此政府应本着兼顾财政的公平与效率原则，优先考虑偏远贫困地区的养老需求。一方面要对养老金科学、透明、高效管理，提高基层工作人员的服务质量，增加农民对新农保的信任度与满意度；另一方面要逐步提高给付水平、增加参保年限激励、各级政府补贴保费的方式激励农村劳动者参加更高档次的保险。</w:t>
      </w:r>
      <w:r>
        <w:rPr>
          <w:rFonts w:hint="eastAsia" w:asciiTheme="minorEastAsia" w:hAnsiTheme="minorEastAsia" w:eastAsiaTheme="minorEastAsia" w:cstheme="minorEastAsia"/>
          <w:sz w:val="28"/>
          <w:szCs w:val="28"/>
          <w:lang w:val="en-US" w:eastAsia="zh-CN"/>
        </w:rPr>
        <w:t>同时</w:t>
      </w:r>
      <w:r>
        <w:rPr>
          <w:rFonts w:hint="eastAsia" w:asciiTheme="minorEastAsia" w:hAnsiTheme="minorEastAsia" w:eastAsiaTheme="minorEastAsia" w:cstheme="minorEastAsia"/>
          <w:sz w:val="28"/>
          <w:szCs w:val="28"/>
        </w:rPr>
        <w:t>还要建立多层次的养老保险体系，发展农民专业年金、商业保险和个人储蓄计划，引导农村劳动者尽早为养老储蓄做准备。</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2、加快养老机构基础设施建设</w:t>
      </w:r>
    </w:p>
    <w:p>
      <w:pPr>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目前濮阳市农村养老服务尚有较大缺口，存在养老机构缺位和养老服务匮乏的问题。首先，对于政府公办的养老机构，</w:t>
      </w:r>
      <w:r>
        <w:rPr>
          <w:rFonts w:hint="eastAsia" w:asciiTheme="minorEastAsia" w:hAnsiTheme="minorEastAsia" w:eastAsiaTheme="minorEastAsia" w:cstheme="minorEastAsia"/>
          <w:sz w:val="28"/>
          <w:szCs w:val="28"/>
          <w:lang w:val="en-US" w:eastAsia="zh-CN"/>
        </w:rPr>
        <w:t>强化服务</w:t>
      </w:r>
      <w:r>
        <w:rPr>
          <w:rFonts w:hint="eastAsia" w:asciiTheme="minorEastAsia" w:hAnsiTheme="minorEastAsia" w:eastAsiaTheme="minorEastAsia" w:cstheme="minorEastAsia"/>
          <w:sz w:val="28"/>
          <w:szCs w:val="28"/>
        </w:rPr>
        <w:t>，提高满意度，扭转农村居民对养老院的偏见</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其次，鼓励社会资本兴办养老机构。在资金、土地、税收等方面给予民办养老院优惠政策才能调动社会资本的积极性。最后，通过定向培训、招聘、提高薪酬待遇等方式吸引</w:t>
      </w:r>
      <w:r>
        <w:rPr>
          <w:rFonts w:hint="eastAsia" w:asciiTheme="minorEastAsia" w:hAnsiTheme="minorEastAsia" w:eastAsiaTheme="minorEastAsia" w:cstheme="minorEastAsia"/>
          <w:sz w:val="28"/>
          <w:szCs w:val="28"/>
          <w:lang w:val="en-US" w:eastAsia="zh-CN"/>
        </w:rPr>
        <w:t>人们参与养老服务</w:t>
      </w:r>
      <w:r>
        <w:rPr>
          <w:rFonts w:hint="eastAsia" w:asciiTheme="minorEastAsia" w:hAnsiTheme="minorEastAsia" w:eastAsiaTheme="minorEastAsia" w:cstheme="minorEastAsia"/>
          <w:sz w:val="28"/>
          <w:szCs w:val="28"/>
        </w:rPr>
        <w:t>。</w:t>
      </w:r>
    </w:p>
    <w:p>
      <w:pPr>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3、重视并加强农村文化建设 </w:t>
      </w:r>
    </w:p>
    <w:p>
      <w:pPr>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长期以来，“文化工作说起来重要，干起来次要，忙起来不要”，农村地区文化建设未被作为政府工作的重点。现在，党的十九大报告提出“实施乡村振兴战略”，各级政府应积极响应号召，重视并加强农村文化建设，把实现“乡风文明”作为农村发展工作的重中之重，努力实现乡村的和谐、有序发展。 </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党委及政府应有力抓住发展契机，丰富农村地区广大人民群众的业余文化生活，扎实开展、做好一系列的“送戏下乡”、“送文化下乡”、“送书籍下乡”、“送体育器材下乡”等丰富多彩的文化娱乐活动，丰富并活跃农村地区人民群众的文娱生活，让人民群众足不出户、在家门口就能享受到“文化大餐”，提升精神养老服务能力。 </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外，应健全和完善精神养老的法律法规。各级政府部门应尽快制定与其相配套的规章、法规和政策，进一步制定可操作化的实施细则，如物质供养的标准、赡养义务的具体责任；依循老年人切实精神需求，明确规定精神养老的主体、内容、职责。强调并细化精神慰藉内容，对未尽赡养义务的行为制定具体化、可操作化的处罚措施。如细化规定家庭成员不仅要“常回家看看”，还要做到“常去院（养老院）看看”。对于“常回家看看”的量化标准，可对每年、每月、每周甚至每日应与父母交流、互动的时间、次数做出明确的量化规定，为老年人精神养老提供法律保障。</w:t>
      </w:r>
    </w:p>
    <w:p>
      <w:pPr>
        <w:ind w:firstLine="562"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（二）社会层面</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1、弘扬传统孝文化营造养老敬老的社会环境</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宣传孝道文化，发扬传统美德，强化家庭观念，提高子女对年老父母的重视和关爱，鼓励子女多和老人沟通交流</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对于村领导要注重创新宣传模式,通过多种宣传形式,采取老年群众喜欢形式如根据当地实际情况,在各村学校、村委会大院等地, 设置孝道文化的长廊, 宣传孝老敬老模范子女的孝行事迹，从而丰富宣教内容内涵。全社会营造一个良好氛围，让更多人积极主动地孝敬老人。</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2、构建多元化的养老模式</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鼓励民间资本进入农村养老市场，根据不同老人的身体状况、生活需要，</w:t>
      </w:r>
      <w:r>
        <w:rPr>
          <w:rFonts w:hint="eastAsia" w:asciiTheme="minorEastAsia" w:hAnsiTheme="minorEastAsia" w:eastAsiaTheme="minorEastAsia" w:cstheme="minorEastAsia"/>
          <w:sz w:val="28"/>
          <w:szCs w:val="28"/>
          <w:lang w:val="en-US" w:eastAsia="zh-CN"/>
        </w:rPr>
        <w:t>建设</w:t>
      </w:r>
      <w:r>
        <w:rPr>
          <w:rFonts w:hint="eastAsia" w:asciiTheme="minorEastAsia" w:hAnsiTheme="minorEastAsia" w:eastAsiaTheme="minorEastAsia" w:cstheme="minorEastAsia"/>
          <w:sz w:val="28"/>
          <w:szCs w:val="28"/>
        </w:rPr>
        <w:t>基本供养型、养护结合型、医护结合型的机构供老人们选择</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为了进一步健全养老服务网络，村委会应和社会力量结合起来，在日间照料中心、老年人活动中心周围提供场所兴建超市、卫生院、健身设施、休闲娱乐场所等，一是可以给老人的日常生活提供便利，丰富老人的娱乐活动，二是可以凝聚人气、增加养老机构、日间活动中心的活跃度，让老人渐渐消除对养老机构的排斥感。另外还要大力发展养老业的周边服务，目前养老市场的需求与日俱增，尽快填补服务缺口、建成完整的服务网络有助于实现养老与投资企业的双赢。</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3、发挥社会组织的力量</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公益事业的发展也离不开年轻人，濮阳市各校团委、少先队委应鼓励学生成立敬老社团，在周末、节假日等课余时间到农村养老院做志愿者，与养老院保持长期稳固的联系。他们不仅可以在生活起居方面照顾老人，还可以陪老人聊聊天、表演一些节目，给老人们带来精神上的慰藉，为敬老院注入一些青春活力。同时，志愿者服务也让学生们走出校园、开拓眼界，增强了学生敬老爱老的观念和社会责任感、使命感，有利于他们自身的锻炼和成长。</w:t>
      </w:r>
    </w:p>
    <w:p>
      <w:pPr>
        <w:ind w:firstLine="562"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（三）个人层面</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1、提前做好养老规划</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目前濮阳市农村地区“养儿防老”的传统观念还没有改变，老人把养老的希望全部寄托在子女身上，年轻时积攒下的财富大多用于子女教育、婚配方面，而到自己失去劳动能力的时候几乎没有什么存款，甚至还因为儿子结婚欠下不少债务。但大量事实及研究表明，经济较独立的农村老人幸福感比不独立的老人高很多。因此，应从年轻时就为自己的养老储备资金，同时政府应正确引导民众减少婚礼彩礼费用支出，杜绝攀比之风，减轻家庭负担。家长也要在教育子女的过程中，培养孩子的独立意识，需要自立门户时尽可能不侵占父母的养老钱。</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2、增强健康意识、强身健体</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本次调研中发现农村老人的健康状况不佳，这同老人缺乏健康意识有关。大部分农村老人不了解也不重视饮食搭配与膳食均衡，加速细胞衰老与免疫力下降；农村老人文化程度普遍较低，极少会选择读书看报的休闲方式，加之大部分村庄缺乏健身、娱乐设施，致使农村老人的业余生活单调乏味，非常不利于老人的身心健康。对于农村老人的健康问题，首先需要老人自身足够重视，在饮食上注意膳食均衡、营养全面，戒烟、少量饮酒。其次遵循健康的作息时间，每天坚持锻炼身体，对于劳作要在自己的能力范围之内。其次</w:t>
      </w:r>
      <w:r>
        <w:rPr>
          <w:rFonts w:hint="eastAsia" w:asciiTheme="minorEastAsia" w:hAnsiTheme="minorEastAsia" w:eastAsiaTheme="minorEastAsia" w:cstheme="minorEastAsia"/>
          <w:sz w:val="28"/>
          <w:szCs w:val="28"/>
          <w:lang w:val="en-US" w:eastAsia="zh-CN"/>
        </w:rPr>
        <w:t>政府</w:t>
      </w:r>
      <w:r>
        <w:rPr>
          <w:rFonts w:hint="eastAsia" w:asciiTheme="minorEastAsia" w:hAnsiTheme="minorEastAsia" w:eastAsiaTheme="minorEastAsia" w:cstheme="minorEastAsia"/>
          <w:sz w:val="28"/>
          <w:szCs w:val="28"/>
        </w:rPr>
        <w:t>需要加大宣传与教育力度，定期举办健康讲座，为农村居民讲解科学合理的饮食规范与保健知识，还要加大对农村地区的资金投入，修建健身器材等公共基础设施，并逐步对 65 岁以上老人进行免费体检，关爱老年人身体健康。</w:t>
      </w:r>
    </w:p>
    <w:p>
      <w:pPr>
        <w:ind w:firstLine="420" w:firstLineChars="1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3、培养兴趣充实个人精神生活</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农村地区条件有限，不具备城市地区老年活动项目，但是农村老年人可通过村集体组织等活动方式进行相关视频的学习，比如播放老电影、抗战资料等都是老年人的兴趣所在，学习后可以与邻居、好友互相交流学习感受，通过学习扩展视野增加自身知识的积累。老年人可以根据自己的爱好和兴趣选择棋类、书法类活动丰富自己的生活。老年人要树立“活到老学到老”的意识，积极主动地找寻生活中的乐趣，适当改进学习方法，少看电视剧等娱乐节目，多看时事热点新闻或和学习相关的电视节目，从多方面提高文化素养</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更好的规避晚年困境。</w:t>
      </w:r>
    </w:p>
    <w:p>
      <w:pPr>
        <w:ind w:firstLine="560" w:firstLineChars="200"/>
        <w:rPr>
          <w:rFonts w:hint="eastAsia" w:asciiTheme="minorEastAsia" w:hAnsiTheme="minorEastAsia" w:eastAsiaTheme="minorEastAsia" w:cstheme="minorEastAsia"/>
          <w:sz w:val="28"/>
          <w:szCs w:val="28"/>
        </w:rPr>
      </w:pPr>
    </w:p>
    <w:p>
      <w:pPr>
        <w:ind w:firstLine="560" w:firstLineChars="200"/>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jc w:val="center"/>
        <w:rPr>
          <w:rFonts w:hint="eastAsia" w:asciiTheme="minorEastAsia" w:hAnsiTheme="minorEastAsia" w:eastAsiaTheme="minorEastAsia" w:cstheme="minorEastAsia"/>
          <w:sz w:val="28"/>
          <w:szCs w:val="28"/>
        </w:rPr>
      </w:pPr>
    </w:p>
    <w:p>
      <w:pPr>
        <w:jc w:val="center"/>
        <w:rPr>
          <w:rFonts w:hint="eastAsia" w:asciiTheme="minorEastAsia" w:hAnsiTheme="minorEastAsia" w:eastAsiaTheme="minorEastAsia" w:cstheme="minorEastAsia"/>
          <w:b/>
          <w:sz w:val="28"/>
          <w:szCs w:val="28"/>
        </w:rPr>
      </w:pPr>
    </w:p>
    <w:p>
      <w:pPr>
        <w:jc w:val="left"/>
        <w:rPr>
          <w:rFonts w:hint="eastAsia" w:asciiTheme="minorEastAsia" w:hAnsiTheme="minorEastAsia" w:eastAsiaTheme="minorEastAsia" w:cstheme="minorEastAsia"/>
          <w:sz w:val="28"/>
          <w:szCs w:val="28"/>
        </w:rPr>
      </w:pPr>
    </w:p>
    <w:sectPr>
      <w:footerReference r:id="rId9"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algun Gothic Semilight">
    <w:panose1 w:val="020B0502040204020203"/>
    <w:charset w:val="86"/>
    <w:family w:val="swiss"/>
    <w:pitch w:val="default"/>
    <w:sig w:usb0="900002AF" w:usb1="01D77CFB" w:usb2="00000012" w:usb3="00000000" w:csb0="203E01BD" w:csb1="D7FF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8"/>
      </w:rPr>
    </w:pPr>
    <w:r>
      <w:fldChar w:fldCharType="begin"/>
    </w:r>
    <w:r>
      <w:rPr>
        <w:rStyle w:val="8"/>
      </w:rPr>
      <w:instrText xml:space="preserve">PAGE  </w:instrText>
    </w:r>
    <w:r>
      <w:fldChar w:fldCharType="end"/>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3165583"/>
      <w:docPartObj>
        <w:docPartGallery w:val="autotext"/>
      </w:docPartObj>
    </w:sdtPr>
    <w:sdtContent>
      <w:p>
        <w:pPr>
          <w:pStyle w:val="3"/>
          <w:jc w:val="center"/>
        </w:pPr>
        <w:r>
          <w:fldChar w:fldCharType="begin"/>
        </w:r>
        <w:r>
          <w:instrText xml:space="preserve"> PAGE   \* MERGEFORMAT </w:instrText>
        </w:r>
        <w:r>
          <w:fldChar w:fldCharType="separate"/>
        </w:r>
        <w:r>
          <w:t>- 1 -</w:t>
        </w:r>
        <w: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D2D"/>
    <w:rsid w:val="00004EB3"/>
    <w:rsid w:val="00062F08"/>
    <w:rsid w:val="000D4FB8"/>
    <w:rsid w:val="000F628A"/>
    <w:rsid w:val="001013D6"/>
    <w:rsid w:val="00111C5B"/>
    <w:rsid w:val="00136875"/>
    <w:rsid w:val="00141B41"/>
    <w:rsid w:val="001B0973"/>
    <w:rsid w:val="001B2A8E"/>
    <w:rsid w:val="0020210A"/>
    <w:rsid w:val="00222FD3"/>
    <w:rsid w:val="002769C1"/>
    <w:rsid w:val="002A5303"/>
    <w:rsid w:val="002D2425"/>
    <w:rsid w:val="00346155"/>
    <w:rsid w:val="003609D5"/>
    <w:rsid w:val="003C2C00"/>
    <w:rsid w:val="003C4C65"/>
    <w:rsid w:val="00444997"/>
    <w:rsid w:val="00445922"/>
    <w:rsid w:val="00463241"/>
    <w:rsid w:val="004B6202"/>
    <w:rsid w:val="004C0E7F"/>
    <w:rsid w:val="004F76C2"/>
    <w:rsid w:val="00512D2D"/>
    <w:rsid w:val="005335BC"/>
    <w:rsid w:val="00567CDD"/>
    <w:rsid w:val="00574EE0"/>
    <w:rsid w:val="00583203"/>
    <w:rsid w:val="00594B5C"/>
    <w:rsid w:val="00596697"/>
    <w:rsid w:val="006724E8"/>
    <w:rsid w:val="006849A0"/>
    <w:rsid w:val="006B7396"/>
    <w:rsid w:val="007A616B"/>
    <w:rsid w:val="007B154E"/>
    <w:rsid w:val="007E7ABD"/>
    <w:rsid w:val="008079C9"/>
    <w:rsid w:val="00981232"/>
    <w:rsid w:val="00987F0C"/>
    <w:rsid w:val="009E7A94"/>
    <w:rsid w:val="00A50525"/>
    <w:rsid w:val="00A71FE2"/>
    <w:rsid w:val="00A808F4"/>
    <w:rsid w:val="00AA2359"/>
    <w:rsid w:val="00B5718D"/>
    <w:rsid w:val="00B82EE3"/>
    <w:rsid w:val="00C649C9"/>
    <w:rsid w:val="00C814DB"/>
    <w:rsid w:val="00CE113C"/>
    <w:rsid w:val="00DC6EA4"/>
    <w:rsid w:val="00DD4C90"/>
    <w:rsid w:val="00E16D91"/>
    <w:rsid w:val="00E75A46"/>
    <w:rsid w:val="00EB6F61"/>
    <w:rsid w:val="00EC0CCB"/>
    <w:rsid w:val="00EC6EB6"/>
    <w:rsid w:val="00F35F7D"/>
    <w:rsid w:val="00FC0F2D"/>
    <w:rsid w:val="00FF05D3"/>
    <w:rsid w:val="00FF3D4D"/>
    <w:rsid w:val="02DD5D95"/>
    <w:rsid w:val="252557FC"/>
    <w:rsid w:val="50C540D0"/>
    <w:rsid w:val="6421739C"/>
    <w:rsid w:val="6A9E1F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semiHidden/>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qFormat/>
    <w:uiPriority w:val="0"/>
  </w:style>
  <w:style w:type="character" w:customStyle="1" w:styleId="9">
    <w:name w:val="页眉 Char"/>
    <w:basedOn w:val="7"/>
    <w:link w:val="4"/>
    <w:semiHidden/>
    <w:uiPriority w:val="99"/>
    <w:rPr>
      <w:sz w:val="18"/>
      <w:szCs w:val="18"/>
    </w:rPr>
  </w:style>
  <w:style w:type="character" w:customStyle="1" w:styleId="10">
    <w:name w:val="页脚 Char"/>
    <w:basedOn w:val="7"/>
    <w:link w:val="3"/>
    <w:uiPriority w:val="99"/>
    <w:rPr>
      <w:sz w:val="18"/>
      <w:szCs w:val="18"/>
    </w:rPr>
  </w:style>
  <w:style w:type="character" w:customStyle="1" w:styleId="11">
    <w:name w:val="批注框文本 Char"/>
    <w:basedOn w:val="7"/>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D953BE-A74C-49DA-A999-71AB7D2C36B5}">
  <ds:schemaRefs/>
</ds:datastoreItem>
</file>

<file path=docProps/app.xml><?xml version="1.0" encoding="utf-8"?>
<Properties xmlns="http://schemas.openxmlformats.org/officeDocument/2006/extended-properties" xmlns:vt="http://schemas.openxmlformats.org/officeDocument/2006/docPropsVTypes">
  <Template>Normal</Template>
  <Pages>39</Pages>
  <Words>2910</Words>
  <Characters>16587</Characters>
  <Lines>138</Lines>
  <Paragraphs>38</Paragraphs>
  <TotalTime>2</TotalTime>
  <ScaleCrop>false</ScaleCrop>
  <LinksUpToDate>false</LinksUpToDate>
  <CharactersWithSpaces>19459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2020-11-12T10:22:00Z</dcterms:created>
  <dc:creator>DELL</dc:creator>
  <cp:lastModifiedBy>DELL</cp:lastModifiedBy>
  <dcterms:modified xsi:type="dcterms:W3CDTF">2021-03-14T10:11:07Z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